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53E163" w14:textId="135B6787" w:rsidR="004F21C8" w:rsidRDefault="004F21C8" w:rsidP="009D31F5">
      <w:pPr>
        <w:jc w:val="center"/>
        <w:rPr>
          <w:b/>
          <w:bCs/>
        </w:rPr>
      </w:pPr>
      <w:r w:rsidRPr="0076517B">
        <w:rPr>
          <w:b/>
          <w:bCs/>
        </w:rPr>
        <w:t xml:space="preserve">MATRIZ </w:t>
      </w:r>
      <w:r w:rsidR="002D3AA5">
        <w:rPr>
          <w:b/>
          <w:bCs/>
        </w:rPr>
        <w:t xml:space="preserve">DE OBSERVACIONES </w:t>
      </w:r>
    </w:p>
    <w:p w14:paraId="570AC2B1" w14:textId="0AC80DC9" w:rsidR="009D31F5" w:rsidRPr="0076517B" w:rsidRDefault="009D31F5" w:rsidP="009D31F5">
      <w:pPr>
        <w:jc w:val="center"/>
        <w:rPr>
          <w:b/>
          <w:bCs/>
        </w:rPr>
      </w:pPr>
      <w:r>
        <w:rPr>
          <w:b/>
          <w:bCs/>
        </w:rPr>
        <w:t xml:space="preserve">TEXTO VIGENTE / TEXTO </w:t>
      </w:r>
      <w:r w:rsidR="00114892">
        <w:rPr>
          <w:b/>
          <w:bCs/>
        </w:rPr>
        <w:t xml:space="preserve">PROPUESTO </w:t>
      </w:r>
    </w:p>
    <w:p w14:paraId="12631222" w14:textId="772399E9" w:rsidR="00B87D18" w:rsidRDefault="001B60BE" w:rsidP="008776A1">
      <w:pPr>
        <w:jc w:val="center"/>
        <w:rPr>
          <w:b/>
          <w:bCs/>
        </w:rPr>
      </w:pPr>
      <w:r w:rsidRPr="00526EF3">
        <w:rPr>
          <w:b/>
          <w:bCs/>
        </w:rPr>
        <w:t>Reforma</w:t>
      </w:r>
      <w:r w:rsidR="004F21C8" w:rsidRPr="00526EF3">
        <w:rPr>
          <w:b/>
          <w:bCs/>
        </w:rPr>
        <w:t xml:space="preserve"> </w:t>
      </w:r>
      <w:r w:rsidR="00234A33">
        <w:rPr>
          <w:b/>
          <w:bCs/>
        </w:rPr>
        <w:t xml:space="preserve">parcial </w:t>
      </w:r>
      <w:r w:rsidR="00B87D18">
        <w:rPr>
          <w:b/>
          <w:bCs/>
        </w:rPr>
        <w:t xml:space="preserve">al </w:t>
      </w:r>
      <w:r w:rsidR="00B87D18" w:rsidRPr="0063448B">
        <w:rPr>
          <w:rFonts w:cstheme="minorHAnsi"/>
          <w:b/>
          <w:bCs/>
        </w:rPr>
        <w:t>Acuerdo SP-A-</w:t>
      </w:r>
      <w:r w:rsidR="003D656E">
        <w:rPr>
          <w:rFonts w:cstheme="minorHAnsi"/>
          <w:b/>
          <w:bCs/>
        </w:rPr>
        <w:t>267</w:t>
      </w:r>
      <w:r w:rsidR="00B87D18" w:rsidRPr="0063448B">
        <w:rPr>
          <w:rFonts w:cstheme="minorHAnsi"/>
          <w:b/>
          <w:bCs/>
        </w:rPr>
        <w:t>-</w:t>
      </w:r>
      <w:r w:rsidR="00405DAA" w:rsidRPr="008776A1">
        <w:rPr>
          <w:b/>
          <w:bCs/>
        </w:rPr>
        <w:t>2024</w:t>
      </w:r>
      <w:r w:rsidR="00B87D18" w:rsidRPr="008776A1">
        <w:rPr>
          <w:b/>
          <w:bCs/>
        </w:rPr>
        <w:t xml:space="preserve">, </w:t>
      </w:r>
      <w:r w:rsidR="008776A1" w:rsidRPr="008776A1">
        <w:rPr>
          <w:b/>
          <w:bCs/>
        </w:rPr>
        <w:t>quince horas del día quince de enero de 2024</w:t>
      </w:r>
      <w:r w:rsidR="008776A1">
        <w:rPr>
          <w:b/>
          <w:bCs/>
        </w:rPr>
        <w:t xml:space="preserve">. </w:t>
      </w:r>
      <w:r w:rsidR="007F390C">
        <w:rPr>
          <w:b/>
          <w:bCs/>
        </w:rPr>
        <w:t xml:space="preserve"> </w:t>
      </w:r>
    </w:p>
    <w:p w14:paraId="0394D752" w14:textId="77777777" w:rsidR="008776A1" w:rsidRDefault="008776A1" w:rsidP="008776A1">
      <w:pPr>
        <w:rPr>
          <w:b/>
          <w:bCs/>
        </w:rPr>
      </w:pPr>
    </w:p>
    <w:p w14:paraId="1BADEEC5" w14:textId="318062CF" w:rsidR="00E31519" w:rsidRDefault="00E31519" w:rsidP="008776A1">
      <w:pPr>
        <w:rPr>
          <w:b/>
          <w:bCs/>
        </w:rPr>
      </w:pPr>
      <w:r>
        <w:rPr>
          <w:b/>
          <w:bCs/>
        </w:rPr>
        <w:t>Detalle de las observaciones recibidas</w:t>
      </w:r>
      <w:r w:rsidR="00C8706C">
        <w:rPr>
          <w:b/>
          <w:bCs/>
        </w:rPr>
        <w:t xml:space="preserve"> según oficios </w:t>
      </w:r>
      <w:r w:rsidR="0080463E" w:rsidRPr="0080463E">
        <w:rPr>
          <w:b/>
          <w:bCs/>
        </w:rPr>
        <w:t>SP-925-2024</w:t>
      </w:r>
      <w:r w:rsidR="0080463E">
        <w:rPr>
          <w:b/>
          <w:bCs/>
        </w:rPr>
        <w:t xml:space="preserve"> del </w:t>
      </w:r>
      <w:r w:rsidR="00890F38">
        <w:rPr>
          <w:b/>
          <w:bCs/>
        </w:rPr>
        <w:t xml:space="preserve">2 de setiembre y </w:t>
      </w:r>
      <w:r w:rsidR="003F2A01" w:rsidRPr="003F2A01">
        <w:rPr>
          <w:b/>
          <w:bCs/>
        </w:rPr>
        <w:t>SP-1017-2024</w:t>
      </w:r>
      <w:r w:rsidR="003F2A01">
        <w:rPr>
          <w:b/>
          <w:bCs/>
        </w:rPr>
        <w:t xml:space="preserve"> del 16 de setiembre</w:t>
      </w:r>
      <w:r>
        <w:rPr>
          <w:b/>
          <w:bCs/>
        </w:rPr>
        <w:t xml:space="preserve">: </w:t>
      </w:r>
    </w:p>
    <w:p w14:paraId="25CA9AF8" w14:textId="77777777" w:rsidR="00473B1E" w:rsidRDefault="00473B1E" w:rsidP="008776A1">
      <w:pPr>
        <w:rPr>
          <w:b/>
          <w:bCs/>
        </w:rPr>
      </w:pPr>
    </w:p>
    <w:tbl>
      <w:tblPr>
        <w:tblStyle w:val="Tablaconcuadrcula"/>
        <w:tblW w:w="0" w:type="auto"/>
        <w:jc w:val="center"/>
        <w:tblLook w:val="04A0" w:firstRow="1" w:lastRow="0" w:firstColumn="1" w:lastColumn="0" w:noHBand="0" w:noVBand="1"/>
      </w:tblPr>
      <w:tblGrid>
        <w:gridCol w:w="4248"/>
        <w:gridCol w:w="4252"/>
        <w:gridCol w:w="2835"/>
      </w:tblGrid>
      <w:tr w:rsidR="00D63114" w14:paraId="61FE2AAD" w14:textId="77777777" w:rsidTr="00473B1E">
        <w:trPr>
          <w:jc w:val="center"/>
        </w:trPr>
        <w:tc>
          <w:tcPr>
            <w:tcW w:w="4248" w:type="dxa"/>
            <w:shd w:val="clear" w:color="auto" w:fill="D0CECE" w:themeFill="background2" w:themeFillShade="E6"/>
          </w:tcPr>
          <w:p w14:paraId="5F97D3A7" w14:textId="72EB7B7C" w:rsidR="00D63114" w:rsidRDefault="00D63114" w:rsidP="00E47FAC">
            <w:pPr>
              <w:rPr>
                <w:b/>
                <w:bCs/>
              </w:rPr>
            </w:pPr>
            <w:r>
              <w:rPr>
                <w:b/>
                <w:bCs/>
              </w:rPr>
              <w:t>Nombre de la entidad</w:t>
            </w:r>
          </w:p>
        </w:tc>
        <w:tc>
          <w:tcPr>
            <w:tcW w:w="4252" w:type="dxa"/>
            <w:shd w:val="clear" w:color="auto" w:fill="D0CECE" w:themeFill="background2" w:themeFillShade="E6"/>
          </w:tcPr>
          <w:p w14:paraId="5E9FA687" w14:textId="3902CB71" w:rsidR="00D63114" w:rsidRDefault="00D63114" w:rsidP="00E47FAC">
            <w:pPr>
              <w:rPr>
                <w:b/>
                <w:bCs/>
              </w:rPr>
            </w:pPr>
            <w:r w:rsidRPr="0080463E">
              <w:rPr>
                <w:b/>
                <w:bCs/>
              </w:rPr>
              <w:t>SP-925-2024</w:t>
            </w:r>
          </w:p>
        </w:tc>
        <w:tc>
          <w:tcPr>
            <w:tcW w:w="2835" w:type="dxa"/>
            <w:shd w:val="clear" w:color="auto" w:fill="D0CECE" w:themeFill="background2" w:themeFillShade="E6"/>
          </w:tcPr>
          <w:p w14:paraId="322B6396" w14:textId="0EDF2342" w:rsidR="00D63114" w:rsidRDefault="00D63114" w:rsidP="00E47FAC">
            <w:pPr>
              <w:rPr>
                <w:b/>
                <w:bCs/>
              </w:rPr>
            </w:pPr>
            <w:r w:rsidRPr="003F2A01">
              <w:rPr>
                <w:b/>
                <w:bCs/>
              </w:rPr>
              <w:t>SP-1017-2024</w:t>
            </w:r>
          </w:p>
        </w:tc>
      </w:tr>
      <w:tr w:rsidR="00D63114" w14:paraId="119C83C3" w14:textId="77777777" w:rsidTr="00473B1E">
        <w:trPr>
          <w:jc w:val="center"/>
        </w:trPr>
        <w:tc>
          <w:tcPr>
            <w:tcW w:w="4248" w:type="dxa"/>
            <w:vAlign w:val="center"/>
          </w:tcPr>
          <w:p w14:paraId="6EB82515" w14:textId="2E5912C5" w:rsidR="00D63114" w:rsidRPr="000C6C1F" w:rsidRDefault="00D63114" w:rsidP="00336574">
            <w:pPr>
              <w:jc w:val="center"/>
              <w:rPr>
                <w:sz w:val="23"/>
                <w:szCs w:val="23"/>
              </w:rPr>
            </w:pPr>
            <w:r w:rsidRPr="000C6C1F">
              <w:rPr>
                <w:sz w:val="23"/>
                <w:szCs w:val="23"/>
              </w:rPr>
              <w:t>Popular Pensiones OPC, S.A.</w:t>
            </w:r>
          </w:p>
        </w:tc>
        <w:tc>
          <w:tcPr>
            <w:tcW w:w="4252" w:type="dxa"/>
            <w:vAlign w:val="center"/>
          </w:tcPr>
          <w:p w14:paraId="3FC3153A" w14:textId="77777777" w:rsidR="00D63114" w:rsidRDefault="00D63114" w:rsidP="005852A9">
            <w:pPr>
              <w:jc w:val="center"/>
              <w:rPr>
                <w:sz w:val="23"/>
                <w:szCs w:val="23"/>
              </w:rPr>
            </w:pPr>
            <w:r w:rsidRPr="000C6C1F">
              <w:rPr>
                <w:sz w:val="23"/>
                <w:szCs w:val="23"/>
              </w:rPr>
              <w:t>PEN-0782-2024</w:t>
            </w:r>
          </w:p>
          <w:p w14:paraId="5253CD6A" w14:textId="3B8CA679" w:rsidR="00D63114" w:rsidRDefault="00D63114" w:rsidP="00336574">
            <w:pPr>
              <w:jc w:val="center"/>
            </w:pPr>
          </w:p>
          <w:p w14:paraId="29738899" w14:textId="455E6BA1" w:rsidR="00D63114" w:rsidRPr="000C6C1F" w:rsidRDefault="00D63114" w:rsidP="00336574">
            <w:pPr>
              <w:jc w:val="center"/>
              <w:rPr>
                <w:sz w:val="23"/>
                <w:szCs w:val="23"/>
              </w:rPr>
            </w:pPr>
            <w:r>
              <w:rPr>
                <w:sz w:val="23"/>
                <w:szCs w:val="23"/>
              </w:rPr>
              <w:t>04 de setiembre del 2024</w:t>
            </w:r>
          </w:p>
        </w:tc>
        <w:tc>
          <w:tcPr>
            <w:tcW w:w="2835" w:type="dxa"/>
          </w:tcPr>
          <w:p w14:paraId="345828CF" w14:textId="77777777" w:rsidR="00D63114" w:rsidRDefault="00D63114" w:rsidP="005852A9">
            <w:pPr>
              <w:jc w:val="center"/>
              <w:rPr>
                <w:sz w:val="23"/>
                <w:szCs w:val="23"/>
              </w:rPr>
            </w:pPr>
            <w:r w:rsidRPr="00A3120E">
              <w:rPr>
                <w:sz w:val="23"/>
                <w:szCs w:val="23"/>
              </w:rPr>
              <w:t>PEN-0831-2024</w:t>
            </w:r>
          </w:p>
          <w:p w14:paraId="18B71D95" w14:textId="1DDB4C45" w:rsidR="00D63114" w:rsidRDefault="00D63114" w:rsidP="005852A9">
            <w:pPr>
              <w:jc w:val="center"/>
            </w:pPr>
          </w:p>
          <w:p w14:paraId="1F1E1154" w14:textId="43F68909" w:rsidR="00D63114" w:rsidRDefault="00D63114" w:rsidP="005852A9">
            <w:pPr>
              <w:jc w:val="center"/>
              <w:rPr>
                <w:sz w:val="23"/>
                <w:szCs w:val="23"/>
              </w:rPr>
            </w:pPr>
            <w:r>
              <w:rPr>
                <w:sz w:val="23"/>
                <w:szCs w:val="23"/>
              </w:rPr>
              <w:t>25 de setiembre del 2024</w:t>
            </w:r>
          </w:p>
        </w:tc>
      </w:tr>
      <w:tr w:rsidR="00D63114" w14:paraId="6BC91E53" w14:textId="77777777" w:rsidTr="00473B1E">
        <w:trPr>
          <w:jc w:val="center"/>
        </w:trPr>
        <w:tc>
          <w:tcPr>
            <w:tcW w:w="4248" w:type="dxa"/>
            <w:vAlign w:val="center"/>
          </w:tcPr>
          <w:p w14:paraId="652DA984" w14:textId="457F9919" w:rsidR="00D63114" w:rsidRPr="00B57744" w:rsidRDefault="00D63114" w:rsidP="00336574">
            <w:pPr>
              <w:jc w:val="center"/>
              <w:rPr>
                <w:sz w:val="23"/>
                <w:szCs w:val="23"/>
                <w:lang w:val="en-US"/>
              </w:rPr>
            </w:pPr>
            <w:r w:rsidRPr="00B57744">
              <w:rPr>
                <w:sz w:val="23"/>
                <w:szCs w:val="23"/>
                <w:lang w:val="en-US"/>
              </w:rPr>
              <w:t>BN Vital OPC, S.A</w:t>
            </w:r>
            <w:r>
              <w:rPr>
                <w:sz w:val="23"/>
                <w:szCs w:val="23"/>
                <w:lang w:val="en-US"/>
              </w:rPr>
              <w:t>.</w:t>
            </w:r>
          </w:p>
        </w:tc>
        <w:tc>
          <w:tcPr>
            <w:tcW w:w="4252" w:type="dxa"/>
            <w:vAlign w:val="center"/>
          </w:tcPr>
          <w:p w14:paraId="6014451F" w14:textId="77777777" w:rsidR="00D63114" w:rsidRDefault="00D63114" w:rsidP="00336574">
            <w:pPr>
              <w:jc w:val="center"/>
              <w:rPr>
                <w:sz w:val="23"/>
                <w:szCs w:val="23"/>
              </w:rPr>
            </w:pPr>
            <w:r w:rsidRPr="0017565C">
              <w:rPr>
                <w:sz w:val="23"/>
                <w:szCs w:val="23"/>
              </w:rPr>
              <w:t>BNVital-GG-286-2024</w:t>
            </w:r>
          </w:p>
          <w:p w14:paraId="3B52A1BC" w14:textId="0109C485" w:rsidR="00D63114" w:rsidRDefault="00D63114" w:rsidP="00336574">
            <w:pPr>
              <w:jc w:val="center"/>
            </w:pPr>
          </w:p>
          <w:p w14:paraId="23CD0E49" w14:textId="6C137652" w:rsidR="00D63114" w:rsidRPr="000C6C1F" w:rsidRDefault="00D63114" w:rsidP="00336574">
            <w:pPr>
              <w:jc w:val="center"/>
              <w:rPr>
                <w:sz w:val="23"/>
                <w:szCs w:val="23"/>
              </w:rPr>
            </w:pPr>
            <w:r>
              <w:rPr>
                <w:sz w:val="23"/>
                <w:szCs w:val="23"/>
              </w:rPr>
              <w:t>12 de setiembre del 2024</w:t>
            </w:r>
          </w:p>
        </w:tc>
        <w:tc>
          <w:tcPr>
            <w:tcW w:w="2835" w:type="dxa"/>
          </w:tcPr>
          <w:p w14:paraId="1BA42CC3" w14:textId="77777777" w:rsidR="00D63114" w:rsidRDefault="00D63114" w:rsidP="005852A9">
            <w:pPr>
              <w:jc w:val="center"/>
              <w:rPr>
                <w:sz w:val="23"/>
                <w:szCs w:val="23"/>
              </w:rPr>
            </w:pPr>
            <w:r w:rsidRPr="002D2664">
              <w:rPr>
                <w:sz w:val="23"/>
                <w:szCs w:val="23"/>
              </w:rPr>
              <w:t>BNVital-GG-299-2024</w:t>
            </w:r>
          </w:p>
          <w:p w14:paraId="6B876F59" w14:textId="6EC4C06F" w:rsidR="00D63114" w:rsidRDefault="00D63114" w:rsidP="005852A9">
            <w:pPr>
              <w:jc w:val="center"/>
            </w:pPr>
          </w:p>
          <w:p w14:paraId="4429AFCA" w14:textId="45C7978D" w:rsidR="00D63114" w:rsidRDefault="00D63114" w:rsidP="005852A9">
            <w:pPr>
              <w:jc w:val="center"/>
              <w:rPr>
                <w:sz w:val="23"/>
                <w:szCs w:val="23"/>
              </w:rPr>
            </w:pPr>
            <w:r>
              <w:rPr>
                <w:sz w:val="23"/>
                <w:szCs w:val="23"/>
              </w:rPr>
              <w:t>18 de setiembre del 2024</w:t>
            </w:r>
          </w:p>
        </w:tc>
      </w:tr>
      <w:tr w:rsidR="00D63114" w14:paraId="0071811D" w14:textId="77777777" w:rsidTr="00473B1E">
        <w:trPr>
          <w:jc w:val="center"/>
        </w:trPr>
        <w:tc>
          <w:tcPr>
            <w:tcW w:w="4248" w:type="dxa"/>
            <w:vAlign w:val="center"/>
          </w:tcPr>
          <w:p w14:paraId="6AAE25D6" w14:textId="4C294702" w:rsidR="00D63114" w:rsidRPr="00EE6A85" w:rsidRDefault="00D63114" w:rsidP="00336574">
            <w:pPr>
              <w:jc w:val="center"/>
              <w:rPr>
                <w:sz w:val="23"/>
                <w:szCs w:val="23"/>
              </w:rPr>
            </w:pPr>
            <w:r w:rsidRPr="00EE6A85">
              <w:rPr>
                <w:sz w:val="23"/>
                <w:szCs w:val="23"/>
              </w:rPr>
              <w:t>BCR Pensiones OPC, S.A</w:t>
            </w:r>
            <w:r>
              <w:rPr>
                <w:sz w:val="23"/>
                <w:szCs w:val="23"/>
              </w:rPr>
              <w:t>.</w:t>
            </w:r>
          </w:p>
        </w:tc>
        <w:tc>
          <w:tcPr>
            <w:tcW w:w="4252" w:type="dxa"/>
            <w:vAlign w:val="center"/>
          </w:tcPr>
          <w:p w14:paraId="258ED573" w14:textId="77777777" w:rsidR="00D63114" w:rsidRDefault="00D63114" w:rsidP="00336574">
            <w:pPr>
              <w:jc w:val="center"/>
              <w:rPr>
                <w:sz w:val="23"/>
                <w:szCs w:val="23"/>
              </w:rPr>
            </w:pPr>
            <w:r w:rsidRPr="00EE6A85">
              <w:rPr>
                <w:sz w:val="23"/>
                <w:szCs w:val="23"/>
              </w:rPr>
              <w:t>BCROPC-323-24</w:t>
            </w:r>
          </w:p>
          <w:p w14:paraId="7DBF102E" w14:textId="0D176348" w:rsidR="00D63114" w:rsidRDefault="00D63114" w:rsidP="00336574">
            <w:pPr>
              <w:jc w:val="center"/>
            </w:pPr>
          </w:p>
          <w:p w14:paraId="35EE7515" w14:textId="25DCB703" w:rsidR="00D63114" w:rsidRPr="0017565C" w:rsidRDefault="00D63114" w:rsidP="00336574">
            <w:pPr>
              <w:jc w:val="center"/>
              <w:rPr>
                <w:sz w:val="23"/>
                <w:szCs w:val="23"/>
              </w:rPr>
            </w:pPr>
            <w:r>
              <w:rPr>
                <w:sz w:val="23"/>
                <w:szCs w:val="23"/>
              </w:rPr>
              <w:t>12 de setiembre del 2024</w:t>
            </w:r>
          </w:p>
        </w:tc>
        <w:tc>
          <w:tcPr>
            <w:tcW w:w="2835" w:type="dxa"/>
            <w:vAlign w:val="center"/>
          </w:tcPr>
          <w:p w14:paraId="63710C15" w14:textId="6D798F81" w:rsidR="00D63114" w:rsidRDefault="004C2849" w:rsidP="004C2849">
            <w:pPr>
              <w:jc w:val="center"/>
              <w:rPr>
                <w:sz w:val="23"/>
                <w:szCs w:val="23"/>
              </w:rPr>
            </w:pPr>
            <w:r>
              <w:rPr>
                <w:sz w:val="23"/>
                <w:szCs w:val="23"/>
              </w:rPr>
              <w:t>Sin respuesta</w:t>
            </w:r>
          </w:p>
        </w:tc>
      </w:tr>
      <w:tr w:rsidR="00D63114" w14:paraId="3F80ED91" w14:textId="77777777" w:rsidTr="00473B1E">
        <w:trPr>
          <w:jc w:val="center"/>
        </w:trPr>
        <w:tc>
          <w:tcPr>
            <w:tcW w:w="4248" w:type="dxa"/>
            <w:vAlign w:val="center"/>
          </w:tcPr>
          <w:p w14:paraId="1C71966C" w14:textId="723711E4" w:rsidR="00D63114" w:rsidRPr="00B57744" w:rsidRDefault="00D63114" w:rsidP="00336574">
            <w:pPr>
              <w:jc w:val="center"/>
              <w:rPr>
                <w:sz w:val="23"/>
                <w:szCs w:val="23"/>
                <w:lang w:val="en-US"/>
              </w:rPr>
            </w:pPr>
            <w:r>
              <w:rPr>
                <w:sz w:val="23"/>
                <w:szCs w:val="23"/>
                <w:lang w:val="en-US"/>
              </w:rPr>
              <w:t>BAC San José OPC, S.A.</w:t>
            </w:r>
          </w:p>
        </w:tc>
        <w:tc>
          <w:tcPr>
            <w:tcW w:w="4252" w:type="dxa"/>
            <w:vAlign w:val="center"/>
          </w:tcPr>
          <w:p w14:paraId="091A27F0" w14:textId="77777777" w:rsidR="00D63114" w:rsidRDefault="00D63114" w:rsidP="00336574">
            <w:pPr>
              <w:jc w:val="center"/>
              <w:rPr>
                <w:sz w:val="23"/>
                <w:szCs w:val="23"/>
              </w:rPr>
            </w:pPr>
            <w:r w:rsidRPr="00A17857">
              <w:rPr>
                <w:sz w:val="23"/>
                <w:szCs w:val="23"/>
              </w:rPr>
              <w:t>BAC-OPC-150-2024</w:t>
            </w:r>
          </w:p>
          <w:p w14:paraId="15088FA2" w14:textId="55487109" w:rsidR="00D63114" w:rsidRDefault="00D63114" w:rsidP="00336574">
            <w:pPr>
              <w:jc w:val="center"/>
            </w:pPr>
          </w:p>
          <w:p w14:paraId="4CA45CBD" w14:textId="5B23175C" w:rsidR="00D63114" w:rsidRPr="00B57744" w:rsidRDefault="00D63114" w:rsidP="00336574">
            <w:pPr>
              <w:jc w:val="center"/>
              <w:rPr>
                <w:rFonts w:ascii="Calibri" w:eastAsiaTheme="minorHAnsi" w:hAnsi="Calibri" w:cs="Calibri"/>
                <w:color w:val="000000"/>
                <w:sz w:val="22"/>
                <w:szCs w:val="22"/>
                <w:lang w:eastAsia="en-US"/>
              </w:rPr>
            </w:pPr>
            <w:r>
              <w:t>13 de setiembre del 2024</w:t>
            </w:r>
          </w:p>
        </w:tc>
        <w:tc>
          <w:tcPr>
            <w:tcW w:w="2835" w:type="dxa"/>
          </w:tcPr>
          <w:p w14:paraId="4A42DE0B" w14:textId="77777777" w:rsidR="00D63114" w:rsidRDefault="00D63114" w:rsidP="00493D14">
            <w:pPr>
              <w:jc w:val="center"/>
              <w:rPr>
                <w:sz w:val="23"/>
                <w:szCs w:val="23"/>
              </w:rPr>
            </w:pPr>
            <w:r w:rsidRPr="00FE6C0C">
              <w:rPr>
                <w:sz w:val="23"/>
                <w:szCs w:val="23"/>
              </w:rPr>
              <w:t>BAC-OPC-154-2024</w:t>
            </w:r>
          </w:p>
          <w:p w14:paraId="3322900E" w14:textId="572542BB" w:rsidR="00D63114" w:rsidRDefault="00D63114" w:rsidP="00493D14">
            <w:pPr>
              <w:jc w:val="center"/>
            </w:pPr>
          </w:p>
          <w:p w14:paraId="20AD3934" w14:textId="4FFD3CDB" w:rsidR="00D63114" w:rsidRDefault="00D63114" w:rsidP="00493D14">
            <w:pPr>
              <w:jc w:val="center"/>
              <w:rPr>
                <w:sz w:val="23"/>
                <w:szCs w:val="23"/>
              </w:rPr>
            </w:pPr>
            <w:r>
              <w:rPr>
                <w:sz w:val="23"/>
                <w:szCs w:val="23"/>
              </w:rPr>
              <w:t>23 de setiembre del 2024</w:t>
            </w:r>
          </w:p>
        </w:tc>
      </w:tr>
      <w:tr w:rsidR="00D63114" w14:paraId="0695EE20" w14:textId="77777777" w:rsidTr="00473B1E">
        <w:trPr>
          <w:jc w:val="center"/>
        </w:trPr>
        <w:tc>
          <w:tcPr>
            <w:tcW w:w="4248" w:type="dxa"/>
            <w:vAlign w:val="center"/>
          </w:tcPr>
          <w:p w14:paraId="5D02C603" w14:textId="4B21229B" w:rsidR="00D63114" w:rsidRPr="00B723BB" w:rsidRDefault="00D63114" w:rsidP="00336574">
            <w:pPr>
              <w:jc w:val="center"/>
              <w:rPr>
                <w:sz w:val="23"/>
                <w:szCs w:val="23"/>
              </w:rPr>
            </w:pPr>
            <w:r w:rsidRPr="00B723BB">
              <w:rPr>
                <w:sz w:val="23"/>
                <w:szCs w:val="23"/>
              </w:rPr>
              <w:t>Vida Plena OPC, S.A</w:t>
            </w:r>
            <w:r>
              <w:rPr>
                <w:sz w:val="23"/>
                <w:szCs w:val="23"/>
              </w:rPr>
              <w:t>.</w:t>
            </w:r>
          </w:p>
        </w:tc>
        <w:tc>
          <w:tcPr>
            <w:tcW w:w="4252" w:type="dxa"/>
            <w:vAlign w:val="center"/>
          </w:tcPr>
          <w:p w14:paraId="53C92007" w14:textId="77777777" w:rsidR="00D63114" w:rsidRDefault="00D63114" w:rsidP="00336574">
            <w:pPr>
              <w:jc w:val="center"/>
              <w:rPr>
                <w:sz w:val="23"/>
                <w:szCs w:val="23"/>
              </w:rPr>
            </w:pPr>
            <w:r w:rsidRPr="00E47FAC">
              <w:rPr>
                <w:sz w:val="23"/>
                <w:szCs w:val="23"/>
              </w:rPr>
              <w:t>GG-114-2024</w:t>
            </w:r>
          </w:p>
          <w:p w14:paraId="119D9305" w14:textId="4B7DDF51" w:rsidR="00D63114" w:rsidRDefault="00D63114" w:rsidP="00336574">
            <w:pPr>
              <w:jc w:val="center"/>
            </w:pPr>
          </w:p>
          <w:p w14:paraId="4E734186" w14:textId="651DCF20" w:rsidR="00D63114" w:rsidRPr="00A17857" w:rsidRDefault="00D63114" w:rsidP="00336574">
            <w:pPr>
              <w:jc w:val="center"/>
              <w:rPr>
                <w:sz w:val="23"/>
                <w:szCs w:val="23"/>
              </w:rPr>
            </w:pPr>
            <w:r>
              <w:rPr>
                <w:sz w:val="23"/>
                <w:szCs w:val="23"/>
              </w:rPr>
              <w:t>16 de setiembre del 2024</w:t>
            </w:r>
          </w:p>
        </w:tc>
        <w:tc>
          <w:tcPr>
            <w:tcW w:w="2835" w:type="dxa"/>
          </w:tcPr>
          <w:p w14:paraId="3705BF3C" w14:textId="77777777" w:rsidR="00D63114" w:rsidRDefault="00D63114" w:rsidP="00D63114">
            <w:pPr>
              <w:jc w:val="center"/>
              <w:rPr>
                <w:sz w:val="23"/>
                <w:szCs w:val="23"/>
              </w:rPr>
            </w:pPr>
            <w:r w:rsidRPr="00383AB0">
              <w:rPr>
                <w:sz w:val="23"/>
                <w:szCs w:val="23"/>
              </w:rPr>
              <w:t>GG-120-2024</w:t>
            </w:r>
          </w:p>
          <w:p w14:paraId="2CC32F61" w14:textId="36ED0908" w:rsidR="00D63114" w:rsidRDefault="00D63114" w:rsidP="00D63114">
            <w:pPr>
              <w:jc w:val="center"/>
            </w:pPr>
          </w:p>
          <w:p w14:paraId="5FD3DDDA" w14:textId="1E48F2D6" w:rsidR="00D63114" w:rsidRDefault="32929391" w:rsidP="00D63114">
            <w:pPr>
              <w:jc w:val="center"/>
              <w:rPr>
                <w:sz w:val="23"/>
                <w:szCs w:val="23"/>
              </w:rPr>
            </w:pPr>
            <w:r w:rsidRPr="2AB27D10">
              <w:rPr>
                <w:sz w:val="23"/>
                <w:szCs w:val="23"/>
              </w:rPr>
              <w:t>1 de octubre del 2024</w:t>
            </w:r>
          </w:p>
          <w:p w14:paraId="7DE04D81" w14:textId="56FD728E" w:rsidR="00D63114" w:rsidRDefault="00D63114" w:rsidP="00D63114">
            <w:pPr>
              <w:jc w:val="center"/>
              <w:rPr>
                <w:sz w:val="23"/>
                <w:szCs w:val="23"/>
              </w:rPr>
            </w:pPr>
          </w:p>
        </w:tc>
      </w:tr>
      <w:tr w:rsidR="00D63114" w14:paraId="3824BE82" w14:textId="77777777" w:rsidTr="00473B1E">
        <w:trPr>
          <w:jc w:val="center"/>
        </w:trPr>
        <w:tc>
          <w:tcPr>
            <w:tcW w:w="4248" w:type="dxa"/>
            <w:vAlign w:val="center"/>
          </w:tcPr>
          <w:p w14:paraId="467A25F5" w14:textId="0AFEBAAD" w:rsidR="00D63114" w:rsidRPr="00B723BB" w:rsidRDefault="00D63114" w:rsidP="00336574">
            <w:pPr>
              <w:jc w:val="center"/>
              <w:rPr>
                <w:sz w:val="23"/>
                <w:szCs w:val="23"/>
              </w:rPr>
            </w:pPr>
            <w:r>
              <w:rPr>
                <w:sz w:val="23"/>
                <w:szCs w:val="23"/>
              </w:rPr>
              <w:t>OPC CCSS, S.A.</w:t>
            </w:r>
          </w:p>
        </w:tc>
        <w:tc>
          <w:tcPr>
            <w:tcW w:w="4252" w:type="dxa"/>
            <w:vAlign w:val="center"/>
          </w:tcPr>
          <w:p w14:paraId="1B0A883E" w14:textId="77777777" w:rsidR="00D63114" w:rsidRDefault="00D63114" w:rsidP="00336574">
            <w:pPr>
              <w:spacing w:line="276" w:lineRule="auto"/>
              <w:contextualSpacing/>
              <w:jc w:val="center"/>
              <w:rPr>
                <w:sz w:val="23"/>
                <w:szCs w:val="23"/>
              </w:rPr>
            </w:pPr>
            <w:r w:rsidRPr="009D34F7">
              <w:rPr>
                <w:sz w:val="23"/>
                <w:szCs w:val="23"/>
              </w:rPr>
              <w:t>GG-287-2024</w:t>
            </w:r>
          </w:p>
          <w:p w14:paraId="7C82FFDC" w14:textId="3E80533F" w:rsidR="00D63114" w:rsidRDefault="00D63114" w:rsidP="00336574">
            <w:pPr>
              <w:spacing w:line="276" w:lineRule="auto"/>
              <w:contextualSpacing/>
              <w:jc w:val="center"/>
            </w:pPr>
          </w:p>
          <w:p w14:paraId="570EF0AF" w14:textId="489E9D12" w:rsidR="00D63114" w:rsidRPr="009D34F7" w:rsidRDefault="00D63114" w:rsidP="00336574">
            <w:pPr>
              <w:spacing w:line="276" w:lineRule="auto"/>
              <w:contextualSpacing/>
              <w:jc w:val="center"/>
              <w:rPr>
                <w:sz w:val="23"/>
                <w:szCs w:val="23"/>
              </w:rPr>
            </w:pPr>
            <w:r>
              <w:rPr>
                <w:sz w:val="23"/>
                <w:szCs w:val="23"/>
              </w:rPr>
              <w:t>17 de setiembre del 2024</w:t>
            </w:r>
          </w:p>
        </w:tc>
        <w:tc>
          <w:tcPr>
            <w:tcW w:w="2835" w:type="dxa"/>
          </w:tcPr>
          <w:p w14:paraId="4F239CDB" w14:textId="77777777" w:rsidR="00D63114" w:rsidRDefault="00D63114" w:rsidP="00D63114">
            <w:pPr>
              <w:spacing w:line="276" w:lineRule="auto"/>
              <w:contextualSpacing/>
              <w:jc w:val="center"/>
              <w:rPr>
                <w:sz w:val="23"/>
                <w:szCs w:val="23"/>
              </w:rPr>
            </w:pPr>
            <w:r w:rsidRPr="00B92F5D">
              <w:rPr>
                <w:sz w:val="23"/>
                <w:szCs w:val="23"/>
              </w:rPr>
              <w:t>GG-304-2024</w:t>
            </w:r>
          </w:p>
          <w:p w14:paraId="02E0CB93" w14:textId="5C065B78" w:rsidR="00D63114" w:rsidRDefault="00D63114" w:rsidP="00D63114">
            <w:pPr>
              <w:jc w:val="center"/>
            </w:pPr>
          </w:p>
          <w:p w14:paraId="73616A99" w14:textId="04EE6D98" w:rsidR="00D63114" w:rsidRDefault="00D63114" w:rsidP="00D63114">
            <w:pPr>
              <w:jc w:val="center"/>
              <w:rPr>
                <w:sz w:val="23"/>
                <w:szCs w:val="23"/>
              </w:rPr>
            </w:pPr>
            <w:r>
              <w:rPr>
                <w:sz w:val="23"/>
                <w:szCs w:val="23"/>
              </w:rPr>
              <w:t>1 de octubre del 2024</w:t>
            </w:r>
          </w:p>
        </w:tc>
      </w:tr>
      <w:tr w:rsidR="00D63114" w14:paraId="4A133A00" w14:textId="77777777" w:rsidTr="00473B1E">
        <w:trPr>
          <w:jc w:val="center"/>
        </w:trPr>
        <w:tc>
          <w:tcPr>
            <w:tcW w:w="4248" w:type="dxa"/>
            <w:vAlign w:val="center"/>
          </w:tcPr>
          <w:p w14:paraId="4B3427DD" w14:textId="04F22FF5" w:rsidR="00D63114" w:rsidRDefault="00D63114" w:rsidP="00336574">
            <w:pPr>
              <w:jc w:val="center"/>
              <w:rPr>
                <w:sz w:val="23"/>
                <w:szCs w:val="23"/>
              </w:rPr>
            </w:pPr>
            <w:r>
              <w:rPr>
                <w:sz w:val="23"/>
                <w:szCs w:val="23"/>
              </w:rPr>
              <w:t>ACOP</w:t>
            </w:r>
          </w:p>
        </w:tc>
        <w:tc>
          <w:tcPr>
            <w:tcW w:w="4252" w:type="dxa"/>
            <w:vAlign w:val="center"/>
          </w:tcPr>
          <w:p w14:paraId="12C5367F" w14:textId="77777777" w:rsidR="00D63114" w:rsidRDefault="00D63114" w:rsidP="00336574">
            <w:pPr>
              <w:spacing w:line="276" w:lineRule="auto"/>
              <w:contextualSpacing/>
              <w:jc w:val="center"/>
              <w:rPr>
                <w:sz w:val="23"/>
                <w:szCs w:val="23"/>
              </w:rPr>
            </w:pPr>
            <w:r w:rsidRPr="00855265">
              <w:rPr>
                <w:sz w:val="23"/>
                <w:szCs w:val="23"/>
              </w:rPr>
              <w:t>ACOP-037-2024</w:t>
            </w:r>
          </w:p>
          <w:p w14:paraId="23ED7DAD" w14:textId="7AF004A6" w:rsidR="00D63114" w:rsidRDefault="00D63114" w:rsidP="00336574">
            <w:pPr>
              <w:spacing w:line="276" w:lineRule="auto"/>
              <w:contextualSpacing/>
              <w:jc w:val="center"/>
            </w:pPr>
          </w:p>
          <w:p w14:paraId="2AEA27EC" w14:textId="68FB2CFD" w:rsidR="00D63114" w:rsidRPr="009D34F7" w:rsidRDefault="00D63114" w:rsidP="00336574">
            <w:pPr>
              <w:spacing w:line="276" w:lineRule="auto"/>
              <w:contextualSpacing/>
              <w:jc w:val="center"/>
              <w:rPr>
                <w:sz w:val="23"/>
                <w:szCs w:val="23"/>
              </w:rPr>
            </w:pPr>
            <w:r>
              <w:rPr>
                <w:sz w:val="23"/>
                <w:szCs w:val="23"/>
              </w:rPr>
              <w:t>17 de setiembre del 2024</w:t>
            </w:r>
          </w:p>
        </w:tc>
        <w:tc>
          <w:tcPr>
            <w:tcW w:w="2835" w:type="dxa"/>
            <w:vAlign w:val="center"/>
          </w:tcPr>
          <w:p w14:paraId="73AF0B14" w14:textId="273370F7" w:rsidR="00D63114" w:rsidRDefault="004C2849" w:rsidP="00D63114">
            <w:pPr>
              <w:jc w:val="center"/>
              <w:rPr>
                <w:sz w:val="23"/>
                <w:szCs w:val="23"/>
              </w:rPr>
            </w:pPr>
            <w:r>
              <w:rPr>
                <w:sz w:val="23"/>
                <w:szCs w:val="23"/>
              </w:rPr>
              <w:t>Sin respuesta</w:t>
            </w:r>
          </w:p>
        </w:tc>
      </w:tr>
    </w:tbl>
    <w:p w14:paraId="02C0ED22" w14:textId="77777777" w:rsidR="00E31519" w:rsidRDefault="00E31519" w:rsidP="008776A1">
      <w:pPr>
        <w:rPr>
          <w:b/>
          <w:bCs/>
        </w:rPr>
      </w:pPr>
    </w:p>
    <w:p w14:paraId="36D28396" w14:textId="77777777" w:rsidR="00137F9F" w:rsidRDefault="00137F9F">
      <w:pPr>
        <w:spacing w:after="160" w:line="259" w:lineRule="auto"/>
        <w:rPr>
          <w:b/>
          <w:bCs/>
        </w:rPr>
      </w:pPr>
      <w:r>
        <w:rPr>
          <w:b/>
          <w:bCs/>
        </w:rPr>
        <w:br w:type="page"/>
      </w:r>
    </w:p>
    <w:p w14:paraId="5F139232" w14:textId="3F2984A5" w:rsidR="009A2031" w:rsidRDefault="009A2031" w:rsidP="00E06CA2">
      <w:pPr>
        <w:rPr>
          <w:b/>
          <w:bCs/>
        </w:rPr>
      </w:pPr>
      <w:r>
        <w:rPr>
          <w:b/>
          <w:bCs/>
        </w:rPr>
        <w:lastRenderedPageBreak/>
        <w:t xml:space="preserve">Análisis comparativo: </w:t>
      </w:r>
    </w:p>
    <w:p w14:paraId="200F8868" w14:textId="77777777" w:rsidR="009A2031" w:rsidRPr="009A2031" w:rsidRDefault="009A2031" w:rsidP="00E06CA2">
      <w:pPr>
        <w:rPr>
          <w:b/>
          <w:bCs/>
        </w:rPr>
      </w:pPr>
    </w:p>
    <w:tbl>
      <w:tblPr>
        <w:tblStyle w:val="Tablaconcuadrculaclara1"/>
        <w:tblW w:w="5000" w:type="pct"/>
        <w:shd w:val="clear" w:color="auto" w:fill="FFFFFF" w:themeFill="background1"/>
        <w:tblLook w:val="01E0" w:firstRow="1" w:lastRow="1" w:firstColumn="1" w:lastColumn="1" w:noHBand="0" w:noVBand="0"/>
      </w:tblPr>
      <w:tblGrid>
        <w:gridCol w:w="4730"/>
        <w:gridCol w:w="4734"/>
        <w:gridCol w:w="4625"/>
        <w:gridCol w:w="4621"/>
      </w:tblGrid>
      <w:tr w:rsidR="00CA0DC3" w:rsidRPr="00556508" w14:paraId="3DE98F90" w14:textId="16C9B3EC" w:rsidTr="5D5FBA91">
        <w:trPr>
          <w:trHeight w:val="410"/>
        </w:trPr>
        <w:tc>
          <w:tcPr>
            <w:tcW w:w="1264" w:type="pct"/>
            <w:shd w:val="clear" w:color="auto" w:fill="B4C6E7" w:themeFill="accent1" w:themeFillTint="66"/>
          </w:tcPr>
          <w:p w14:paraId="44C0CF7B" w14:textId="798FA113" w:rsidR="00CA0DC3" w:rsidRPr="00A17857" w:rsidRDefault="00CA0DC3">
            <w:pPr>
              <w:pStyle w:val="TableParagraph"/>
              <w:spacing w:before="120" w:after="120"/>
              <w:ind w:right="98"/>
              <w:jc w:val="center"/>
              <w:rPr>
                <w:b/>
                <w:color w:val="0C0C0C"/>
                <w:sz w:val="20"/>
                <w:szCs w:val="20"/>
              </w:rPr>
            </w:pPr>
            <w:r w:rsidRPr="00A17857">
              <w:rPr>
                <w:b/>
                <w:color w:val="0C0C0C"/>
                <w:sz w:val="20"/>
                <w:szCs w:val="20"/>
              </w:rPr>
              <w:t xml:space="preserve">TEXTO </w:t>
            </w:r>
            <w:r w:rsidR="00AB734E" w:rsidRPr="00A17857">
              <w:rPr>
                <w:b/>
                <w:color w:val="0C0C0C"/>
                <w:sz w:val="20"/>
                <w:szCs w:val="20"/>
              </w:rPr>
              <w:t xml:space="preserve">VIGENTE </w:t>
            </w:r>
            <w:r w:rsidRPr="00A17857">
              <w:rPr>
                <w:b/>
                <w:color w:val="0C0C0C"/>
                <w:sz w:val="20"/>
                <w:szCs w:val="20"/>
              </w:rPr>
              <w:t xml:space="preserve"> </w:t>
            </w:r>
          </w:p>
        </w:tc>
        <w:tc>
          <w:tcPr>
            <w:tcW w:w="1265" w:type="pct"/>
            <w:shd w:val="clear" w:color="auto" w:fill="B4C6E7" w:themeFill="accent1" w:themeFillTint="66"/>
          </w:tcPr>
          <w:p w14:paraId="33E46EDC" w14:textId="78F3CB94" w:rsidR="00CA0DC3" w:rsidRPr="00A17857" w:rsidRDefault="0085787D">
            <w:pPr>
              <w:pStyle w:val="TableParagraph"/>
              <w:spacing w:before="120" w:after="120"/>
              <w:ind w:right="193"/>
              <w:jc w:val="center"/>
              <w:rPr>
                <w:b/>
                <w:color w:val="0C0C0C"/>
                <w:sz w:val="20"/>
                <w:szCs w:val="20"/>
              </w:rPr>
            </w:pPr>
            <w:r w:rsidRPr="00A17857">
              <w:rPr>
                <w:b/>
                <w:color w:val="0C0C0C"/>
                <w:sz w:val="20"/>
                <w:szCs w:val="20"/>
              </w:rPr>
              <w:t xml:space="preserve">TEXTO </w:t>
            </w:r>
            <w:r w:rsidR="00260785" w:rsidRPr="00A17857">
              <w:rPr>
                <w:b/>
                <w:color w:val="0C0C0C"/>
                <w:sz w:val="20"/>
                <w:szCs w:val="20"/>
              </w:rPr>
              <w:t xml:space="preserve">PROPUESTO </w:t>
            </w:r>
          </w:p>
        </w:tc>
        <w:tc>
          <w:tcPr>
            <w:tcW w:w="1236" w:type="pct"/>
            <w:shd w:val="clear" w:color="auto" w:fill="B4C6E7" w:themeFill="accent1" w:themeFillTint="66"/>
          </w:tcPr>
          <w:p w14:paraId="5D7DCB35" w14:textId="3BD5F450" w:rsidR="00CA0DC3" w:rsidRPr="00A17857" w:rsidRDefault="007D6E1D">
            <w:pPr>
              <w:pStyle w:val="TableParagraph"/>
              <w:spacing w:before="120" w:after="120"/>
              <w:ind w:right="98"/>
              <w:jc w:val="center"/>
              <w:rPr>
                <w:b/>
                <w:color w:val="0C0C0C"/>
                <w:sz w:val="20"/>
                <w:szCs w:val="20"/>
              </w:rPr>
            </w:pPr>
            <w:r w:rsidRPr="00A17857">
              <w:rPr>
                <w:b/>
                <w:color w:val="0C0C0C"/>
                <w:sz w:val="20"/>
                <w:szCs w:val="20"/>
              </w:rPr>
              <w:t xml:space="preserve">OBSERVACIONES </w:t>
            </w:r>
          </w:p>
        </w:tc>
        <w:tc>
          <w:tcPr>
            <w:tcW w:w="1235" w:type="pct"/>
            <w:shd w:val="clear" w:color="auto" w:fill="B4C6E7" w:themeFill="accent1" w:themeFillTint="66"/>
          </w:tcPr>
          <w:p w14:paraId="530834C2" w14:textId="7C34475D" w:rsidR="00CA0DC3" w:rsidRPr="00A17857" w:rsidRDefault="007D6E1D">
            <w:pPr>
              <w:pStyle w:val="TableParagraph"/>
              <w:spacing w:before="120" w:after="120"/>
              <w:ind w:right="98"/>
              <w:jc w:val="center"/>
              <w:rPr>
                <w:b/>
                <w:color w:val="0C0C0C"/>
                <w:sz w:val="20"/>
                <w:szCs w:val="20"/>
              </w:rPr>
            </w:pPr>
            <w:r w:rsidRPr="00A17857">
              <w:rPr>
                <w:b/>
                <w:color w:val="0C0C0C"/>
                <w:sz w:val="20"/>
                <w:szCs w:val="20"/>
              </w:rPr>
              <w:t xml:space="preserve">TEXTO FINAL </w:t>
            </w:r>
          </w:p>
        </w:tc>
      </w:tr>
      <w:tr w:rsidR="000B768F" w:rsidRPr="00556508" w14:paraId="2459988F" w14:textId="77777777" w:rsidTr="5D5FBA91">
        <w:trPr>
          <w:trHeight w:val="410"/>
        </w:trPr>
        <w:tc>
          <w:tcPr>
            <w:tcW w:w="1264" w:type="pct"/>
            <w:shd w:val="clear" w:color="auto" w:fill="auto"/>
          </w:tcPr>
          <w:p w14:paraId="725E491F" w14:textId="77777777" w:rsidR="000B768F" w:rsidRPr="00A17857" w:rsidRDefault="000B768F">
            <w:pPr>
              <w:pStyle w:val="TableParagraph"/>
              <w:spacing w:before="120" w:after="120"/>
              <w:ind w:right="98"/>
              <w:jc w:val="center"/>
              <w:rPr>
                <w:b/>
                <w:color w:val="0C0C0C"/>
                <w:sz w:val="20"/>
                <w:szCs w:val="20"/>
              </w:rPr>
            </w:pPr>
          </w:p>
        </w:tc>
        <w:tc>
          <w:tcPr>
            <w:tcW w:w="1265" w:type="pct"/>
            <w:shd w:val="clear" w:color="auto" w:fill="auto"/>
          </w:tcPr>
          <w:p w14:paraId="3F290825" w14:textId="6407314D" w:rsidR="00A71962" w:rsidRDefault="00A71962" w:rsidP="00A71962">
            <w:pPr>
              <w:jc w:val="both"/>
              <w:rPr>
                <w:b/>
                <w:bCs/>
                <w:i/>
                <w:iCs/>
                <w:sz w:val="20"/>
                <w:szCs w:val="20"/>
              </w:rPr>
            </w:pPr>
            <w:r>
              <w:rPr>
                <w:b/>
                <w:bCs/>
                <w:i/>
                <w:iCs/>
                <w:sz w:val="20"/>
                <w:szCs w:val="20"/>
              </w:rPr>
              <w:t>“</w:t>
            </w:r>
            <w:r w:rsidRPr="00A71962">
              <w:rPr>
                <w:b/>
                <w:bCs/>
                <w:i/>
                <w:iCs/>
                <w:sz w:val="20"/>
                <w:szCs w:val="20"/>
              </w:rPr>
              <w:t xml:space="preserve">Considerando #5: </w:t>
            </w:r>
          </w:p>
          <w:p w14:paraId="29BBAD0B" w14:textId="77777777" w:rsidR="00A71962" w:rsidRPr="00A71962" w:rsidRDefault="00A71962" w:rsidP="00A71962">
            <w:pPr>
              <w:jc w:val="both"/>
              <w:rPr>
                <w:b/>
                <w:bCs/>
                <w:i/>
                <w:iCs/>
                <w:sz w:val="20"/>
                <w:szCs w:val="20"/>
              </w:rPr>
            </w:pPr>
          </w:p>
          <w:p w14:paraId="16FC56C1" w14:textId="6F7E0512" w:rsidR="000B768F" w:rsidRPr="00A71962" w:rsidRDefault="00A71962" w:rsidP="00A71962">
            <w:pPr>
              <w:jc w:val="both"/>
              <w:rPr>
                <w:i/>
                <w:iCs/>
                <w:sz w:val="20"/>
                <w:szCs w:val="20"/>
              </w:rPr>
            </w:pPr>
            <w:r w:rsidRPr="00A71962">
              <w:rPr>
                <w:i/>
                <w:iCs/>
                <w:sz w:val="20"/>
                <w:szCs w:val="20"/>
              </w:rPr>
              <w:t>La experiencia internacional (Colombia, decreto 2555, del 2010; México, Disposiciones de Carácter General en Materia Financiera de los Sistemas de Ahorro para el Retiro, 2020) ha incorporado métricas de seguimiento, que requieren información histórica luego de los cambios estructurales en la gestión de las inversiones, como mecanismo para la verificación del cumplimiento de los objetivos de los fondos de pensiones. Estas métricas permiten al supervisor analizar los ajustes a sus estrategias de inversión de las entidades, en caso de encontrar desviaciones con respecto a lo planeado</w:t>
            </w:r>
            <w:r>
              <w:rPr>
                <w:i/>
                <w:iCs/>
                <w:sz w:val="20"/>
                <w:szCs w:val="20"/>
              </w:rPr>
              <w:t>”</w:t>
            </w:r>
            <w:r w:rsidRPr="00A71962">
              <w:rPr>
                <w:i/>
                <w:iCs/>
                <w:sz w:val="20"/>
                <w:szCs w:val="20"/>
              </w:rPr>
              <w:t>.</w:t>
            </w:r>
          </w:p>
          <w:p w14:paraId="26281782" w14:textId="0A05AE4C" w:rsidR="00A71962" w:rsidRPr="00A17857" w:rsidRDefault="00A71962" w:rsidP="00A71962">
            <w:pPr>
              <w:jc w:val="both"/>
              <w:rPr>
                <w:b/>
                <w:color w:val="0C0C0C"/>
                <w:sz w:val="20"/>
                <w:szCs w:val="20"/>
              </w:rPr>
            </w:pPr>
          </w:p>
        </w:tc>
        <w:tc>
          <w:tcPr>
            <w:tcW w:w="1236" w:type="pct"/>
            <w:shd w:val="clear" w:color="auto" w:fill="auto"/>
          </w:tcPr>
          <w:p w14:paraId="02733A9D" w14:textId="77777777" w:rsidR="000B768F" w:rsidRDefault="00C33A3F" w:rsidP="002D2C6B">
            <w:pPr>
              <w:jc w:val="both"/>
              <w:rPr>
                <w:bCs/>
                <w:color w:val="0C0C0C"/>
                <w:sz w:val="20"/>
                <w:szCs w:val="20"/>
              </w:rPr>
            </w:pPr>
            <w:r>
              <w:rPr>
                <w:b/>
                <w:bCs/>
                <w:sz w:val="20"/>
                <w:szCs w:val="20"/>
              </w:rPr>
              <w:t xml:space="preserve">OPC </w:t>
            </w:r>
            <w:r w:rsidR="002D2C6B" w:rsidRPr="002D2C6B">
              <w:rPr>
                <w:b/>
                <w:bCs/>
                <w:sz w:val="20"/>
                <w:szCs w:val="20"/>
              </w:rPr>
              <w:t>CCSS</w:t>
            </w:r>
            <w:r>
              <w:rPr>
                <w:b/>
                <w:bCs/>
                <w:sz w:val="20"/>
                <w:szCs w:val="20"/>
              </w:rPr>
              <w:t xml:space="preserve"> (</w:t>
            </w:r>
            <w:r w:rsidRPr="009D34F7">
              <w:rPr>
                <w:sz w:val="23"/>
                <w:szCs w:val="23"/>
              </w:rPr>
              <w:t>GG-287-2024</w:t>
            </w:r>
            <w:r>
              <w:rPr>
                <w:sz w:val="23"/>
                <w:szCs w:val="23"/>
              </w:rPr>
              <w:t>)</w:t>
            </w:r>
            <w:r w:rsidR="002D2C6B" w:rsidRPr="002D2C6B">
              <w:rPr>
                <w:b/>
                <w:bCs/>
                <w:sz w:val="20"/>
                <w:szCs w:val="20"/>
              </w:rPr>
              <w:t>:</w:t>
            </w:r>
            <w:r w:rsidR="002D2C6B" w:rsidRPr="002D2C6B">
              <w:rPr>
                <w:b/>
                <w:color w:val="0C0C0C"/>
                <w:sz w:val="20"/>
                <w:szCs w:val="20"/>
              </w:rPr>
              <w:t xml:space="preserve"> </w:t>
            </w:r>
            <w:r w:rsidR="00502278" w:rsidRPr="00502278">
              <w:rPr>
                <w:bCs/>
                <w:color w:val="0C0C0C"/>
                <w:sz w:val="20"/>
                <w:szCs w:val="20"/>
              </w:rPr>
              <w:t>Una vez leído este considerando, surge la duda de si a nivel de las Operadoras debemos trabajar con el establecimiento de objetivos con datos prospectivos, pues aquí se mencionan contrariamente datos retrospectivos.</w:t>
            </w:r>
          </w:p>
          <w:p w14:paraId="1E18B948" w14:textId="77777777" w:rsidR="007E1DCE" w:rsidRDefault="007E1DCE" w:rsidP="002D2C6B">
            <w:pPr>
              <w:jc w:val="both"/>
              <w:rPr>
                <w:bCs/>
                <w:color w:val="0C0C0C"/>
                <w:sz w:val="20"/>
                <w:szCs w:val="20"/>
              </w:rPr>
            </w:pPr>
          </w:p>
          <w:p w14:paraId="62ED9927" w14:textId="77777777" w:rsidR="00001CED" w:rsidRPr="00A73E60" w:rsidRDefault="00001CED" w:rsidP="00001CED">
            <w:pPr>
              <w:pStyle w:val="paragraph"/>
              <w:spacing w:before="0" w:beforeAutospacing="0" w:after="0" w:afterAutospacing="0"/>
              <w:jc w:val="both"/>
              <w:textAlignment w:val="baseline"/>
              <w:rPr>
                <w:rFonts w:ascii="Segoe UI" w:hAnsi="Segoe UI" w:cs="Segoe UI"/>
                <w:sz w:val="18"/>
                <w:szCs w:val="18"/>
              </w:rPr>
            </w:pPr>
            <w:r w:rsidRPr="00A73E60">
              <w:rPr>
                <w:rStyle w:val="normaltextrun"/>
                <w:color w:val="4471C4"/>
                <w:sz w:val="20"/>
                <w:szCs w:val="20"/>
              </w:rPr>
              <w:t>Respuesta:</w:t>
            </w:r>
            <w:r w:rsidRPr="00A73E60">
              <w:rPr>
                <w:rStyle w:val="eop"/>
                <w:color w:val="4471C4"/>
                <w:sz w:val="20"/>
                <w:szCs w:val="20"/>
              </w:rPr>
              <w:t> </w:t>
            </w:r>
          </w:p>
          <w:p w14:paraId="50194C2D" w14:textId="0657BD1A" w:rsidR="00001CED" w:rsidRDefault="00B8186C" w:rsidP="00001CED">
            <w:pPr>
              <w:pStyle w:val="paragraph"/>
              <w:spacing w:before="0" w:beforeAutospacing="0" w:after="0" w:afterAutospacing="0"/>
              <w:ind w:right="90"/>
              <w:jc w:val="both"/>
              <w:textAlignment w:val="baseline"/>
              <w:rPr>
                <w:rFonts w:ascii="Segoe UI" w:hAnsi="Segoe UI" w:cs="Segoe UI"/>
                <w:sz w:val="18"/>
                <w:szCs w:val="18"/>
              </w:rPr>
            </w:pPr>
            <w:r>
              <w:rPr>
                <w:rStyle w:val="normaltextrun"/>
                <w:color w:val="4471C4"/>
                <w:sz w:val="20"/>
                <w:szCs w:val="20"/>
              </w:rPr>
              <w:t xml:space="preserve">Se aclara. </w:t>
            </w:r>
            <w:r w:rsidR="00001CED">
              <w:rPr>
                <w:rStyle w:val="normaltextrun"/>
                <w:color w:val="4471C4"/>
                <w:sz w:val="20"/>
                <w:szCs w:val="20"/>
              </w:rPr>
              <w:t>Es interés del supervisor que las proyecciones que realicen los gestores tengan la mayor información posible al momento de su formulación, de ahí que se proponga un mayor plazo para la recolección de datos de la gestión de los fondos generacionales</w:t>
            </w:r>
            <w:r w:rsidR="001D74C3">
              <w:rPr>
                <w:rStyle w:val="normaltextrun"/>
                <w:color w:val="4471C4"/>
                <w:sz w:val="20"/>
                <w:szCs w:val="20"/>
              </w:rPr>
              <w:t>.</w:t>
            </w:r>
          </w:p>
          <w:p w14:paraId="6B1AA9C5" w14:textId="280F31A0" w:rsidR="007E1DCE" w:rsidRPr="002D2C6B" w:rsidRDefault="007E1DCE" w:rsidP="002D2C6B">
            <w:pPr>
              <w:jc w:val="both"/>
              <w:rPr>
                <w:b/>
                <w:color w:val="0C0C0C"/>
                <w:sz w:val="20"/>
                <w:szCs w:val="20"/>
              </w:rPr>
            </w:pPr>
          </w:p>
        </w:tc>
        <w:tc>
          <w:tcPr>
            <w:tcW w:w="1235" w:type="pct"/>
            <w:shd w:val="clear" w:color="auto" w:fill="auto"/>
          </w:tcPr>
          <w:p w14:paraId="41B58FDD" w14:textId="77777777" w:rsidR="0035012C" w:rsidRDefault="0035012C" w:rsidP="0035012C">
            <w:pPr>
              <w:pStyle w:val="paragraph"/>
              <w:spacing w:before="0" w:beforeAutospacing="0" w:after="0" w:afterAutospacing="0"/>
              <w:jc w:val="both"/>
              <w:textAlignment w:val="baseline"/>
              <w:rPr>
                <w:rFonts w:ascii="Segoe UI" w:hAnsi="Segoe UI" w:cs="Segoe UI"/>
                <w:sz w:val="18"/>
                <w:szCs w:val="18"/>
              </w:rPr>
            </w:pPr>
            <w:r>
              <w:rPr>
                <w:rStyle w:val="normaltextrun"/>
                <w:b/>
                <w:bCs/>
                <w:i/>
                <w:iCs/>
                <w:sz w:val="20"/>
                <w:szCs w:val="20"/>
              </w:rPr>
              <w:t>“Considerando #5: </w:t>
            </w:r>
            <w:r>
              <w:rPr>
                <w:rStyle w:val="eop"/>
                <w:sz w:val="20"/>
                <w:szCs w:val="20"/>
              </w:rPr>
              <w:t> </w:t>
            </w:r>
          </w:p>
          <w:p w14:paraId="6D5CF34A" w14:textId="77777777" w:rsidR="0035012C" w:rsidRDefault="0035012C" w:rsidP="0035012C">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78EFD8B5" w14:textId="595685E6" w:rsidR="000B768F" w:rsidRPr="001D74C3" w:rsidRDefault="0035012C" w:rsidP="001D74C3">
            <w:pPr>
              <w:pStyle w:val="paragraph"/>
              <w:spacing w:before="0" w:beforeAutospacing="0" w:after="0" w:afterAutospacing="0"/>
              <w:jc w:val="both"/>
              <w:textAlignment w:val="baseline"/>
              <w:rPr>
                <w:rFonts w:ascii="Segoe UI" w:hAnsi="Segoe UI" w:cs="Segoe UI"/>
                <w:sz w:val="18"/>
                <w:szCs w:val="18"/>
              </w:rPr>
            </w:pPr>
            <w:r>
              <w:rPr>
                <w:rStyle w:val="normaltextrun"/>
                <w:i/>
                <w:iCs/>
                <w:sz w:val="20"/>
                <w:szCs w:val="20"/>
              </w:rPr>
              <w:t>La experiencia internacional (Colombia, decreto 2555, del 2010; México, Disposiciones de Carácter General en Materia Financiera de los Sistemas de Ahorro para el Retiro, 2020) ha incorporado métricas de seguimiento, que requieren información histórica luego de los cambios estructurales en la gestión de las inversiones, como mecanismo para la verificación del cumplimiento de los objetivos de los fondos de pensiones. Estas métricas permiten al supervisor analizar los ajustes a sus estrategias de inversión de las entidades, en caso de encontrar desviaciones con respecto a lo planeado”.</w:t>
            </w:r>
            <w:r>
              <w:rPr>
                <w:rStyle w:val="eop"/>
                <w:sz w:val="20"/>
                <w:szCs w:val="20"/>
              </w:rPr>
              <w:t> </w:t>
            </w:r>
          </w:p>
        </w:tc>
      </w:tr>
      <w:tr w:rsidR="00CA0DC3" w:rsidRPr="00BD5D64" w14:paraId="49738165" w14:textId="2D55420F" w:rsidTr="5D5FBA91">
        <w:trPr>
          <w:trHeight w:val="410"/>
        </w:trPr>
        <w:tc>
          <w:tcPr>
            <w:tcW w:w="1264" w:type="pct"/>
            <w:shd w:val="clear" w:color="auto" w:fill="FFFFFF" w:themeFill="background1"/>
          </w:tcPr>
          <w:p w14:paraId="4CCA0EF7" w14:textId="77777777" w:rsidR="00667DFD" w:rsidRPr="00A17857" w:rsidRDefault="00667DFD" w:rsidP="00667DFD">
            <w:pPr>
              <w:jc w:val="both"/>
              <w:rPr>
                <w:b/>
                <w:bCs/>
                <w:sz w:val="20"/>
                <w:szCs w:val="20"/>
              </w:rPr>
            </w:pPr>
            <w:r w:rsidRPr="00A17857">
              <w:rPr>
                <w:b/>
                <w:bCs/>
                <w:sz w:val="20"/>
                <w:szCs w:val="20"/>
              </w:rPr>
              <w:t>Artículo 4. Error de seguimiento</w:t>
            </w:r>
          </w:p>
          <w:p w14:paraId="7EACF18B" w14:textId="77777777" w:rsidR="00667DFD" w:rsidRPr="00A17857" w:rsidRDefault="00667DFD" w:rsidP="00667DFD">
            <w:pPr>
              <w:jc w:val="both"/>
              <w:rPr>
                <w:b/>
                <w:bCs/>
                <w:sz w:val="20"/>
                <w:szCs w:val="20"/>
              </w:rPr>
            </w:pPr>
          </w:p>
          <w:p w14:paraId="4BBB5D34" w14:textId="77777777" w:rsidR="00667DFD" w:rsidRPr="00A17857" w:rsidRDefault="00667DFD" w:rsidP="00667DFD">
            <w:pPr>
              <w:jc w:val="both"/>
              <w:rPr>
                <w:sz w:val="20"/>
                <w:szCs w:val="20"/>
              </w:rPr>
            </w:pPr>
            <w:r w:rsidRPr="00A17857">
              <w:rPr>
                <w:sz w:val="20"/>
                <w:szCs w:val="20"/>
              </w:rPr>
              <w:t xml:space="preserve">El error de seguimiento es la desviación de la trayectoria declarada por la operadora de pensiones para cada fondo generacional del Régimen Obligatorio de Pensiones Complementarias respecto de su desempeño observado. </w:t>
            </w:r>
          </w:p>
          <w:p w14:paraId="6DF36988" w14:textId="77777777" w:rsidR="00667DFD" w:rsidRPr="00A17857" w:rsidRDefault="00667DFD" w:rsidP="00667DFD">
            <w:pPr>
              <w:jc w:val="both"/>
              <w:rPr>
                <w:sz w:val="20"/>
                <w:szCs w:val="20"/>
              </w:rPr>
            </w:pPr>
          </w:p>
          <w:p w14:paraId="2E2477D9" w14:textId="77777777" w:rsidR="00667DFD" w:rsidRPr="00A17857" w:rsidRDefault="00667DFD" w:rsidP="00667DFD">
            <w:pPr>
              <w:jc w:val="both"/>
              <w:rPr>
                <w:sz w:val="20"/>
                <w:szCs w:val="20"/>
              </w:rPr>
            </w:pPr>
            <w:r w:rsidRPr="00A17857">
              <w:rPr>
                <w:sz w:val="20"/>
                <w:szCs w:val="20"/>
              </w:rPr>
              <w:t>Los rangos de desviación deben ser declarados en la política de inversiones de cada uno de los fondos.</w:t>
            </w:r>
          </w:p>
          <w:p w14:paraId="481699F8" w14:textId="77777777" w:rsidR="00667DFD" w:rsidRPr="00A17857" w:rsidRDefault="00667DFD" w:rsidP="00667DFD">
            <w:pPr>
              <w:jc w:val="both"/>
              <w:rPr>
                <w:sz w:val="20"/>
                <w:szCs w:val="20"/>
              </w:rPr>
            </w:pPr>
          </w:p>
          <w:p w14:paraId="261DACA4" w14:textId="77777777" w:rsidR="00667DFD" w:rsidRPr="00A17857" w:rsidRDefault="00667DFD" w:rsidP="00667DFD">
            <w:pPr>
              <w:jc w:val="both"/>
              <w:rPr>
                <w:sz w:val="20"/>
                <w:szCs w:val="20"/>
              </w:rPr>
            </w:pPr>
            <w:r w:rsidRPr="00A17857">
              <w:rPr>
                <w:sz w:val="20"/>
                <w:szCs w:val="20"/>
              </w:rPr>
              <w:t xml:space="preserve">Las operadoras de pensiones deberán verificar periódicamente el rendimiento del fondo y compararlo contra el rendimiento objetivo declarado en su trayectoria de inversión. </w:t>
            </w:r>
          </w:p>
          <w:p w14:paraId="5B74D87B" w14:textId="77777777" w:rsidR="00667DFD" w:rsidRPr="00A17857" w:rsidRDefault="00667DFD" w:rsidP="00667DFD">
            <w:pPr>
              <w:jc w:val="both"/>
              <w:rPr>
                <w:sz w:val="20"/>
                <w:szCs w:val="20"/>
              </w:rPr>
            </w:pPr>
          </w:p>
          <w:p w14:paraId="2CA1DCC6" w14:textId="77777777" w:rsidR="00667DFD" w:rsidRPr="00A17857" w:rsidRDefault="00667DFD" w:rsidP="00667DFD">
            <w:pPr>
              <w:jc w:val="both"/>
              <w:rPr>
                <w:sz w:val="20"/>
                <w:szCs w:val="20"/>
              </w:rPr>
            </w:pPr>
            <w:r w:rsidRPr="00A17857">
              <w:rPr>
                <w:sz w:val="20"/>
                <w:szCs w:val="20"/>
              </w:rPr>
              <w:t>Cuando se produzcan desviaciones, se aplicará lo que indica el artículo 6.</w:t>
            </w:r>
          </w:p>
          <w:p w14:paraId="443562F3" w14:textId="31ED10AE" w:rsidR="00E777CC" w:rsidRPr="00A17857" w:rsidRDefault="00E777CC" w:rsidP="00E777CC">
            <w:pPr>
              <w:jc w:val="both"/>
              <w:rPr>
                <w:b/>
                <w:bCs/>
                <w:sz w:val="20"/>
                <w:szCs w:val="20"/>
              </w:rPr>
            </w:pPr>
          </w:p>
        </w:tc>
        <w:tc>
          <w:tcPr>
            <w:tcW w:w="1265" w:type="pct"/>
            <w:shd w:val="clear" w:color="auto" w:fill="FFFFFF" w:themeFill="background1"/>
          </w:tcPr>
          <w:p w14:paraId="08FAA79E" w14:textId="71386C1D" w:rsidR="00BD1BA4" w:rsidRPr="00A17857" w:rsidRDefault="009C3543" w:rsidP="00BD1BA4">
            <w:pPr>
              <w:jc w:val="both"/>
              <w:rPr>
                <w:b/>
                <w:bCs/>
                <w:i/>
                <w:iCs/>
                <w:sz w:val="20"/>
                <w:szCs w:val="20"/>
              </w:rPr>
            </w:pPr>
            <w:r w:rsidRPr="00A17857">
              <w:rPr>
                <w:b/>
                <w:bCs/>
                <w:i/>
                <w:iCs/>
                <w:sz w:val="20"/>
                <w:szCs w:val="20"/>
              </w:rPr>
              <w:t>“</w:t>
            </w:r>
            <w:r w:rsidR="00BD1BA4" w:rsidRPr="00A17857">
              <w:rPr>
                <w:b/>
                <w:bCs/>
                <w:i/>
                <w:iCs/>
                <w:sz w:val="20"/>
                <w:szCs w:val="20"/>
              </w:rPr>
              <w:t>Artículo 4. Desviación de la trayectoria</w:t>
            </w:r>
          </w:p>
          <w:p w14:paraId="56A8E0EB" w14:textId="77777777" w:rsidR="00BD1BA4" w:rsidRPr="00A17857" w:rsidRDefault="00BD1BA4" w:rsidP="00BD1BA4">
            <w:pPr>
              <w:jc w:val="both"/>
              <w:rPr>
                <w:i/>
                <w:iCs/>
                <w:sz w:val="20"/>
                <w:szCs w:val="20"/>
              </w:rPr>
            </w:pPr>
          </w:p>
          <w:p w14:paraId="12FD17F1" w14:textId="77777777" w:rsidR="00BD1BA4" w:rsidRPr="00A17857" w:rsidRDefault="00BD1BA4" w:rsidP="00BD1BA4">
            <w:pPr>
              <w:jc w:val="both"/>
              <w:rPr>
                <w:i/>
                <w:iCs/>
                <w:sz w:val="20"/>
                <w:szCs w:val="20"/>
              </w:rPr>
            </w:pPr>
            <w:r w:rsidRPr="00A17857">
              <w:rPr>
                <w:i/>
                <w:iCs/>
                <w:sz w:val="20"/>
                <w:szCs w:val="20"/>
              </w:rPr>
              <w:t xml:space="preserve">Corresponde a la diferencia entre los porcentajes por clase de activos en la trayectoria de inversión óptima y la composición del portafolio para dicha clase, en un momento dado. </w:t>
            </w:r>
          </w:p>
          <w:p w14:paraId="760EB607" w14:textId="77777777" w:rsidR="00BD1BA4" w:rsidRPr="00A17857" w:rsidRDefault="00BD1BA4" w:rsidP="00BD1BA4">
            <w:pPr>
              <w:jc w:val="both"/>
              <w:rPr>
                <w:i/>
                <w:iCs/>
                <w:sz w:val="20"/>
                <w:szCs w:val="20"/>
              </w:rPr>
            </w:pPr>
          </w:p>
          <w:p w14:paraId="128C2D3A" w14:textId="77777777" w:rsidR="00BD1BA4" w:rsidRPr="00A17857" w:rsidRDefault="00BD1BA4" w:rsidP="00BD1BA4">
            <w:pPr>
              <w:jc w:val="both"/>
              <w:rPr>
                <w:i/>
                <w:iCs/>
                <w:sz w:val="20"/>
                <w:szCs w:val="20"/>
              </w:rPr>
            </w:pPr>
            <w:r w:rsidRPr="00A17857">
              <w:rPr>
                <w:i/>
                <w:iCs/>
                <w:sz w:val="20"/>
                <w:szCs w:val="20"/>
              </w:rPr>
              <w:t xml:space="preserve">El órgano de dirección definirá de forma técnica los rangos tolerables de desviación para cada fondo generacional a lo largo del tiempo. Dichos rangos deben considerar la Declaración de Apetito al Riesgo de acuerdo con la política de inversión y cumplir con la comunicación indicada en el artículo 8 de este acuerdo. </w:t>
            </w:r>
          </w:p>
          <w:p w14:paraId="5BA94222" w14:textId="77777777" w:rsidR="00BD1BA4" w:rsidRPr="00A17857" w:rsidRDefault="00BD1BA4" w:rsidP="00BD1BA4">
            <w:pPr>
              <w:jc w:val="both"/>
              <w:rPr>
                <w:i/>
                <w:iCs/>
                <w:sz w:val="20"/>
                <w:szCs w:val="20"/>
              </w:rPr>
            </w:pPr>
          </w:p>
          <w:p w14:paraId="26AFD826" w14:textId="7C50EFC6" w:rsidR="00BD1BA4" w:rsidRPr="00A17857" w:rsidRDefault="00BD1BA4" w:rsidP="00BD1BA4">
            <w:pPr>
              <w:jc w:val="both"/>
              <w:rPr>
                <w:i/>
                <w:iCs/>
                <w:sz w:val="20"/>
                <w:szCs w:val="20"/>
              </w:rPr>
            </w:pPr>
            <w:r w:rsidRPr="00A17857">
              <w:rPr>
                <w:i/>
                <w:iCs/>
                <w:sz w:val="20"/>
                <w:szCs w:val="20"/>
              </w:rPr>
              <w:t>Cuando se produzcan desviaciones fuera del rango de tolerancia, la entidad aplicará lo que indica el artículo 6 de este acuerdo</w:t>
            </w:r>
            <w:r w:rsidR="009C3543" w:rsidRPr="00A17857">
              <w:rPr>
                <w:i/>
                <w:iCs/>
                <w:sz w:val="20"/>
                <w:szCs w:val="20"/>
              </w:rPr>
              <w:t>”</w:t>
            </w:r>
            <w:r w:rsidRPr="00A17857">
              <w:rPr>
                <w:i/>
                <w:iCs/>
                <w:sz w:val="20"/>
                <w:szCs w:val="20"/>
              </w:rPr>
              <w:t>.</w:t>
            </w:r>
          </w:p>
          <w:p w14:paraId="622A8CDE" w14:textId="02062618" w:rsidR="00CA0DC3" w:rsidRPr="00A17857" w:rsidRDefault="00CA0DC3" w:rsidP="007D6E1D">
            <w:pPr>
              <w:jc w:val="both"/>
              <w:rPr>
                <w:b/>
                <w:bCs/>
                <w:i/>
                <w:iCs/>
                <w:sz w:val="20"/>
                <w:szCs w:val="20"/>
              </w:rPr>
            </w:pPr>
          </w:p>
        </w:tc>
        <w:tc>
          <w:tcPr>
            <w:tcW w:w="1236" w:type="pct"/>
            <w:shd w:val="clear" w:color="auto" w:fill="FFFFFF" w:themeFill="background1"/>
          </w:tcPr>
          <w:p w14:paraId="5BEC4CDB" w14:textId="6E4A399F" w:rsidR="0075327A" w:rsidRPr="008A4783" w:rsidRDefault="0075327A" w:rsidP="000547E1">
            <w:pPr>
              <w:jc w:val="both"/>
              <w:rPr>
                <w:b/>
                <w:iCs/>
                <w:sz w:val="20"/>
                <w:szCs w:val="20"/>
              </w:rPr>
            </w:pPr>
            <w:r w:rsidRPr="00A17857">
              <w:rPr>
                <w:b/>
                <w:iCs/>
                <w:sz w:val="20"/>
                <w:szCs w:val="20"/>
              </w:rPr>
              <w:t>BN Vital</w:t>
            </w:r>
            <w:r w:rsidR="00C33A3F">
              <w:rPr>
                <w:b/>
                <w:iCs/>
                <w:sz w:val="20"/>
                <w:szCs w:val="20"/>
              </w:rPr>
              <w:t xml:space="preserve"> (</w:t>
            </w:r>
            <w:r w:rsidR="00C33A3F" w:rsidRPr="0017565C">
              <w:rPr>
                <w:sz w:val="23"/>
                <w:szCs w:val="23"/>
              </w:rPr>
              <w:t>BNVital-GG-286-2024</w:t>
            </w:r>
            <w:r w:rsidR="00C33A3F">
              <w:rPr>
                <w:sz w:val="23"/>
                <w:szCs w:val="23"/>
              </w:rPr>
              <w:t>)</w:t>
            </w:r>
            <w:r w:rsidRPr="00A17857">
              <w:rPr>
                <w:b/>
                <w:iCs/>
                <w:sz w:val="20"/>
                <w:szCs w:val="20"/>
              </w:rPr>
              <w:t xml:space="preserve">: </w:t>
            </w:r>
            <w:r w:rsidRPr="00A17857">
              <w:rPr>
                <w:sz w:val="20"/>
                <w:szCs w:val="20"/>
              </w:rPr>
              <w:t>La reforma del artículo 4 señala que: “El órgano de dirección definirá de forma técnica los rangos tolerables de desviación para cada fondo generacional a lo largo del tiempo. Dichos rangos deben considerar la Declaración de Apetito al Riesgo de acuerdo con la política de inversión y cumplir con la comunicación indicada en el artículo 8 de este acuerdo”, sin embargo; no se eliminó o modificó el artículo 6 en lo que respecta al límite del 5% sobre el error de seguimiento: “Cuando se presenten desvíos por seis meses consecutivos o cuando el error de seguimiento a la trayectoria de inversión sea superior a un 5%”.</w:t>
            </w:r>
            <w:r w:rsidR="008A4783">
              <w:rPr>
                <w:sz w:val="20"/>
                <w:szCs w:val="20"/>
              </w:rPr>
              <w:t xml:space="preserve"> </w:t>
            </w:r>
            <w:r w:rsidR="000547E1" w:rsidRPr="00A17857">
              <w:rPr>
                <w:sz w:val="20"/>
                <w:szCs w:val="20"/>
              </w:rPr>
              <w:t>Lo anterior implica un tope al rol del Órgano de Dirección al establecerse los rangos de tolerancia en dicho artículo, aspecto que podría ser una contradicción al espíritu de la reforma, por lo que solicitamos su aclaración.</w:t>
            </w:r>
          </w:p>
          <w:p w14:paraId="19902502" w14:textId="77777777" w:rsidR="00EE415C" w:rsidRDefault="00EE415C" w:rsidP="000547E1">
            <w:pPr>
              <w:jc w:val="both"/>
              <w:rPr>
                <w:b/>
                <w:iCs/>
                <w:sz w:val="20"/>
                <w:szCs w:val="20"/>
              </w:rPr>
            </w:pPr>
          </w:p>
          <w:p w14:paraId="31012D13" w14:textId="77777777" w:rsidR="00B26F38" w:rsidRDefault="00B26F38" w:rsidP="00B26F38">
            <w:pPr>
              <w:pStyle w:val="paragraph"/>
              <w:spacing w:before="0" w:beforeAutospacing="0" w:after="0" w:afterAutospacing="0"/>
              <w:jc w:val="both"/>
              <w:textAlignment w:val="baseline"/>
              <w:rPr>
                <w:rFonts w:ascii="Segoe UI" w:hAnsi="Segoe UI" w:cs="Segoe UI"/>
                <w:sz w:val="18"/>
                <w:szCs w:val="18"/>
              </w:rPr>
            </w:pPr>
            <w:r>
              <w:rPr>
                <w:rStyle w:val="normaltextrun"/>
                <w:color w:val="4471C4"/>
                <w:sz w:val="20"/>
                <w:szCs w:val="20"/>
              </w:rPr>
              <w:t>Respuesta:</w:t>
            </w:r>
            <w:r>
              <w:rPr>
                <w:rStyle w:val="eop"/>
                <w:color w:val="4471C4"/>
                <w:sz w:val="20"/>
                <w:szCs w:val="20"/>
              </w:rPr>
              <w:t> </w:t>
            </w:r>
          </w:p>
          <w:p w14:paraId="152AFEEE" w14:textId="6703BB52" w:rsidR="00B26F38" w:rsidRPr="00B26F38" w:rsidRDefault="00B26F38" w:rsidP="00B26F38">
            <w:pPr>
              <w:pStyle w:val="paragraph"/>
              <w:spacing w:before="0" w:beforeAutospacing="0" w:after="0" w:afterAutospacing="0"/>
              <w:jc w:val="both"/>
              <w:textAlignment w:val="baseline"/>
              <w:rPr>
                <w:rFonts w:ascii="Segoe UI" w:hAnsi="Segoe UI" w:cs="Segoe UI"/>
                <w:sz w:val="20"/>
                <w:szCs w:val="20"/>
              </w:rPr>
            </w:pPr>
            <w:r>
              <w:rPr>
                <w:rStyle w:val="normaltextrun"/>
                <w:color w:val="4471C4"/>
                <w:sz w:val="20"/>
                <w:szCs w:val="20"/>
              </w:rPr>
              <w:t>Se acepta la ob</w:t>
            </w:r>
            <w:r w:rsidRPr="00B26F38">
              <w:rPr>
                <w:rStyle w:val="normaltextrun"/>
                <w:color w:val="4471C4"/>
                <w:sz w:val="20"/>
                <w:szCs w:val="20"/>
              </w:rPr>
              <w:t>servación y se atiende con la modificación del artículo 6.</w:t>
            </w:r>
            <w:r w:rsidRPr="00B26F38">
              <w:rPr>
                <w:rStyle w:val="eop"/>
                <w:color w:val="4471C4"/>
                <w:sz w:val="20"/>
                <w:szCs w:val="20"/>
              </w:rPr>
              <w:t> </w:t>
            </w:r>
          </w:p>
          <w:p w14:paraId="311F4901" w14:textId="77777777" w:rsidR="00B26F38" w:rsidRPr="00B26F38" w:rsidRDefault="00B26F38" w:rsidP="000547E1">
            <w:pPr>
              <w:jc w:val="both"/>
              <w:rPr>
                <w:b/>
                <w:iCs/>
                <w:sz w:val="20"/>
                <w:szCs w:val="20"/>
              </w:rPr>
            </w:pPr>
          </w:p>
          <w:p w14:paraId="062D962B" w14:textId="3408D1AE" w:rsidR="00EE415C" w:rsidRDefault="00EE415C" w:rsidP="008E1BE3">
            <w:pPr>
              <w:autoSpaceDE w:val="0"/>
              <w:autoSpaceDN w:val="0"/>
              <w:adjustRightInd w:val="0"/>
              <w:jc w:val="both"/>
              <w:rPr>
                <w:sz w:val="20"/>
                <w:szCs w:val="20"/>
              </w:rPr>
            </w:pPr>
            <w:r>
              <w:rPr>
                <w:b/>
                <w:iCs/>
                <w:sz w:val="20"/>
                <w:szCs w:val="20"/>
              </w:rPr>
              <w:t>BAC</w:t>
            </w:r>
            <w:r w:rsidR="00C33A3F">
              <w:rPr>
                <w:b/>
                <w:iCs/>
                <w:sz w:val="20"/>
                <w:szCs w:val="20"/>
              </w:rPr>
              <w:t xml:space="preserve"> (</w:t>
            </w:r>
            <w:r w:rsidR="00C33A3F" w:rsidRPr="00A17857">
              <w:rPr>
                <w:sz w:val="23"/>
                <w:szCs w:val="23"/>
              </w:rPr>
              <w:t>BAC-OPC-150-2024</w:t>
            </w:r>
            <w:r w:rsidR="00C33A3F">
              <w:rPr>
                <w:sz w:val="23"/>
                <w:szCs w:val="23"/>
              </w:rPr>
              <w:t>)</w:t>
            </w:r>
            <w:r>
              <w:rPr>
                <w:b/>
                <w:iCs/>
                <w:sz w:val="20"/>
                <w:szCs w:val="20"/>
              </w:rPr>
              <w:t xml:space="preserve">: </w:t>
            </w:r>
            <w:r w:rsidR="008A4783" w:rsidRPr="008A4783">
              <w:rPr>
                <w:sz w:val="20"/>
                <w:szCs w:val="20"/>
              </w:rPr>
              <w:t>Desviación de la trayectoria, dado que la propuesta de</w:t>
            </w:r>
            <w:r w:rsidR="008A4783">
              <w:rPr>
                <w:sz w:val="20"/>
                <w:szCs w:val="20"/>
              </w:rPr>
              <w:t xml:space="preserve"> </w:t>
            </w:r>
            <w:r w:rsidR="008A4783" w:rsidRPr="008A4783">
              <w:rPr>
                <w:sz w:val="20"/>
                <w:szCs w:val="20"/>
              </w:rPr>
              <w:t xml:space="preserve">reforma plantea que es el órgano de dirección quien debe definir de </w:t>
            </w:r>
            <w:r w:rsidR="008A4783" w:rsidRPr="008A4783">
              <w:rPr>
                <w:sz w:val="20"/>
                <w:szCs w:val="20"/>
              </w:rPr>
              <w:lastRenderedPageBreak/>
              <w:t>forma</w:t>
            </w:r>
            <w:r w:rsidR="008A4783">
              <w:rPr>
                <w:sz w:val="20"/>
                <w:szCs w:val="20"/>
              </w:rPr>
              <w:t xml:space="preserve"> </w:t>
            </w:r>
            <w:r w:rsidR="008A4783" w:rsidRPr="008A4783">
              <w:rPr>
                <w:sz w:val="20"/>
                <w:szCs w:val="20"/>
              </w:rPr>
              <w:t>técnica los rangos tolerables de desviación para cada fondo generacional a lo</w:t>
            </w:r>
            <w:r w:rsidR="008A4783">
              <w:rPr>
                <w:sz w:val="20"/>
                <w:szCs w:val="20"/>
              </w:rPr>
              <w:t xml:space="preserve"> </w:t>
            </w:r>
            <w:r w:rsidR="008A4783" w:rsidRPr="008A4783">
              <w:rPr>
                <w:sz w:val="20"/>
                <w:szCs w:val="20"/>
              </w:rPr>
              <w:t>largo del tiempo, consideramos que se debe eliminar el párrafo 2 del Artículo 6.</w:t>
            </w:r>
            <w:r w:rsidR="008A4783">
              <w:rPr>
                <w:sz w:val="20"/>
                <w:szCs w:val="20"/>
              </w:rPr>
              <w:t xml:space="preserve"> </w:t>
            </w:r>
            <w:r w:rsidR="008A4783" w:rsidRPr="008A4783">
              <w:rPr>
                <w:sz w:val="20"/>
                <w:szCs w:val="20"/>
              </w:rPr>
              <w:t>Modificación de la trayectoria que indica:</w:t>
            </w:r>
            <w:r w:rsidR="008A4783">
              <w:rPr>
                <w:sz w:val="20"/>
                <w:szCs w:val="20"/>
              </w:rPr>
              <w:t xml:space="preserve"> “</w:t>
            </w:r>
            <w:r w:rsidR="008E1BE3" w:rsidRPr="008E1BE3">
              <w:rPr>
                <w:sz w:val="20"/>
                <w:szCs w:val="20"/>
              </w:rPr>
              <w:t>Cuando se presenten desvíos por seis meses consecutivos o cuando el</w:t>
            </w:r>
            <w:r w:rsidR="008E1BE3">
              <w:rPr>
                <w:sz w:val="20"/>
                <w:szCs w:val="20"/>
              </w:rPr>
              <w:t xml:space="preserve"> </w:t>
            </w:r>
            <w:r w:rsidR="008E1BE3" w:rsidRPr="008E1BE3">
              <w:rPr>
                <w:sz w:val="20"/>
                <w:szCs w:val="20"/>
              </w:rPr>
              <w:t>error de seguimiento a la trayectoria de inversión sea superior a un 5%,</w:t>
            </w:r>
            <w:r w:rsidR="008E1BE3">
              <w:rPr>
                <w:sz w:val="20"/>
                <w:szCs w:val="20"/>
              </w:rPr>
              <w:t xml:space="preserve"> </w:t>
            </w:r>
            <w:r w:rsidR="008E1BE3" w:rsidRPr="008E1BE3">
              <w:rPr>
                <w:sz w:val="20"/>
                <w:szCs w:val="20"/>
              </w:rPr>
              <w:t>las operadoras de pensiones deberán plantear una modificación a la</w:t>
            </w:r>
            <w:r w:rsidR="008E1BE3">
              <w:rPr>
                <w:sz w:val="20"/>
                <w:szCs w:val="20"/>
              </w:rPr>
              <w:t xml:space="preserve"> </w:t>
            </w:r>
            <w:r w:rsidR="008E1BE3" w:rsidRPr="008E1BE3">
              <w:rPr>
                <w:sz w:val="20"/>
                <w:szCs w:val="20"/>
              </w:rPr>
              <w:t>trayectoria de inversión</w:t>
            </w:r>
            <w:r w:rsidR="008E1BE3">
              <w:rPr>
                <w:sz w:val="20"/>
                <w:szCs w:val="20"/>
              </w:rPr>
              <w:t xml:space="preserve">”. </w:t>
            </w:r>
          </w:p>
          <w:p w14:paraId="39B15813" w14:textId="77777777" w:rsidR="00AF1F71" w:rsidRDefault="00AF1F71" w:rsidP="00AF1F71">
            <w:pPr>
              <w:jc w:val="both"/>
              <w:rPr>
                <w:b/>
                <w:iCs/>
                <w:sz w:val="20"/>
                <w:szCs w:val="20"/>
              </w:rPr>
            </w:pPr>
          </w:p>
          <w:p w14:paraId="638CB6CE" w14:textId="77777777" w:rsidR="00AF1F71" w:rsidRDefault="00AF1F71" w:rsidP="00AF1F71">
            <w:pPr>
              <w:pStyle w:val="paragraph"/>
              <w:spacing w:before="0" w:beforeAutospacing="0" w:after="0" w:afterAutospacing="0"/>
              <w:jc w:val="both"/>
              <w:textAlignment w:val="baseline"/>
              <w:rPr>
                <w:rFonts w:ascii="Segoe UI" w:hAnsi="Segoe UI" w:cs="Segoe UI"/>
                <w:sz w:val="18"/>
                <w:szCs w:val="18"/>
              </w:rPr>
            </w:pPr>
            <w:r>
              <w:rPr>
                <w:rStyle w:val="normaltextrun"/>
                <w:color w:val="4471C4"/>
                <w:sz w:val="20"/>
                <w:szCs w:val="20"/>
              </w:rPr>
              <w:t>Respuesta:</w:t>
            </w:r>
            <w:r>
              <w:rPr>
                <w:rStyle w:val="eop"/>
                <w:color w:val="4471C4"/>
                <w:sz w:val="20"/>
                <w:szCs w:val="20"/>
              </w:rPr>
              <w:t> </w:t>
            </w:r>
          </w:p>
          <w:p w14:paraId="284DD7E0" w14:textId="77777777" w:rsidR="00AF1F71" w:rsidRPr="00B26F38" w:rsidRDefault="00AF1F71" w:rsidP="00AF1F71">
            <w:pPr>
              <w:pStyle w:val="paragraph"/>
              <w:spacing w:before="0" w:beforeAutospacing="0" w:after="0" w:afterAutospacing="0"/>
              <w:jc w:val="both"/>
              <w:textAlignment w:val="baseline"/>
              <w:rPr>
                <w:rFonts w:ascii="Segoe UI" w:hAnsi="Segoe UI" w:cs="Segoe UI"/>
                <w:sz w:val="20"/>
                <w:szCs w:val="20"/>
              </w:rPr>
            </w:pPr>
            <w:r>
              <w:rPr>
                <w:rStyle w:val="normaltextrun"/>
                <w:color w:val="4471C4"/>
                <w:sz w:val="20"/>
                <w:szCs w:val="20"/>
              </w:rPr>
              <w:t>Se acepta la ob</w:t>
            </w:r>
            <w:r w:rsidRPr="00B26F38">
              <w:rPr>
                <w:rStyle w:val="normaltextrun"/>
                <w:color w:val="4471C4"/>
                <w:sz w:val="20"/>
                <w:szCs w:val="20"/>
              </w:rPr>
              <w:t>servación y se atiende con la modificación del artículo 6.</w:t>
            </w:r>
            <w:r w:rsidRPr="00B26F38">
              <w:rPr>
                <w:rStyle w:val="eop"/>
                <w:color w:val="4471C4"/>
                <w:sz w:val="20"/>
                <w:szCs w:val="20"/>
              </w:rPr>
              <w:t> </w:t>
            </w:r>
          </w:p>
          <w:p w14:paraId="515EB778" w14:textId="77777777" w:rsidR="00AF1F71" w:rsidRDefault="00AF1F71" w:rsidP="008E1BE3">
            <w:pPr>
              <w:autoSpaceDE w:val="0"/>
              <w:autoSpaceDN w:val="0"/>
              <w:adjustRightInd w:val="0"/>
              <w:jc w:val="both"/>
              <w:rPr>
                <w:sz w:val="20"/>
                <w:szCs w:val="20"/>
              </w:rPr>
            </w:pPr>
          </w:p>
          <w:p w14:paraId="61A2A8C2" w14:textId="3AF4DFEE" w:rsidR="00124DCD" w:rsidRDefault="00124DCD" w:rsidP="008E1BE3">
            <w:pPr>
              <w:autoSpaceDE w:val="0"/>
              <w:autoSpaceDN w:val="0"/>
              <w:adjustRightInd w:val="0"/>
              <w:jc w:val="both"/>
              <w:rPr>
                <w:sz w:val="20"/>
                <w:szCs w:val="20"/>
              </w:rPr>
            </w:pPr>
            <w:r w:rsidRPr="00124DCD">
              <w:rPr>
                <w:b/>
                <w:bCs/>
                <w:sz w:val="20"/>
                <w:szCs w:val="20"/>
              </w:rPr>
              <w:t>Vida Plena</w:t>
            </w:r>
            <w:r w:rsidR="00C33A3F">
              <w:rPr>
                <w:b/>
                <w:bCs/>
                <w:sz w:val="20"/>
                <w:szCs w:val="20"/>
              </w:rPr>
              <w:t xml:space="preserve"> (</w:t>
            </w:r>
            <w:r w:rsidR="00C33A3F" w:rsidRPr="00E47FAC">
              <w:rPr>
                <w:sz w:val="23"/>
                <w:szCs w:val="23"/>
              </w:rPr>
              <w:t>GG-114-2024</w:t>
            </w:r>
            <w:r w:rsidR="00C33A3F">
              <w:rPr>
                <w:sz w:val="23"/>
                <w:szCs w:val="23"/>
              </w:rPr>
              <w:t>)</w:t>
            </w:r>
            <w:r>
              <w:rPr>
                <w:sz w:val="20"/>
                <w:szCs w:val="20"/>
              </w:rPr>
              <w:t>: L</w:t>
            </w:r>
            <w:r w:rsidRPr="00124DCD">
              <w:rPr>
                <w:sz w:val="20"/>
                <w:szCs w:val="20"/>
              </w:rPr>
              <w:t xml:space="preserve">a modificación realizada en el primer párrafo del artículo 4 está alineada con las observaciones que ha venido realizando nuestra operadora, donde desde nuestra perspectiva, el error de seguimiento o desvío de trayectoria, como </w:t>
            </w:r>
            <w:proofErr w:type="spellStart"/>
            <w:r w:rsidRPr="00124DCD">
              <w:rPr>
                <w:sz w:val="20"/>
                <w:szCs w:val="20"/>
              </w:rPr>
              <w:t>Supén</w:t>
            </w:r>
            <w:proofErr w:type="spellEnd"/>
            <w:r w:rsidRPr="00124DCD">
              <w:rPr>
                <w:sz w:val="20"/>
                <w:szCs w:val="20"/>
              </w:rPr>
              <w:t xml:space="preserve"> lo denomina en el título del artículo, viene a brindar mayor claridad sobre su determinación.</w:t>
            </w:r>
          </w:p>
          <w:p w14:paraId="395E7799" w14:textId="77777777" w:rsidR="00F07D86" w:rsidRDefault="00F07D86" w:rsidP="008E1BE3">
            <w:pPr>
              <w:autoSpaceDE w:val="0"/>
              <w:autoSpaceDN w:val="0"/>
              <w:adjustRightInd w:val="0"/>
              <w:jc w:val="both"/>
              <w:rPr>
                <w:sz w:val="20"/>
                <w:szCs w:val="20"/>
              </w:rPr>
            </w:pPr>
          </w:p>
          <w:p w14:paraId="5C5A0856" w14:textId="77777777" w:rsidR="00AF1F71" w:rsidRDefault="00AF1F71" w:rsidP="00AF1F71">
            <w:pPr>
              <w:pStyle w:val="paragraph"/>
              <w:spacing w:before="0" w:beforeAutospacing="0" w:after="0" w:afterAutospacing="0"/>
              <w:jc w:val="both"/>
              <w:textAlignment w:val="baseline"/>
              <w:rPr>
                <w:rFonts w:ascii="Segoe UI" w:hAnsi="Segoe UI" w:cs="Segoe UI"/>
                <w:sz w:val="18"/>
                <w:szCs w:val="18"/>
              </w:rPr>
            </w:pPr>
            <w:r>
              <w:rPr>
                <w:rStyle w:val="normaltextrun"/>
                <w:color w:val="4471C4"/>
                <w:sz w:val="20"/>
                <w:szCs w:val="20"/>
              </w:rPr>
              <w:t>Respuesta:</w:t>
            </w:r>
            <w:r>
              <w:rPr>
                <w:rStyle w:val="eop"/>
                <w:color w:val="4471C4"/>
                <w:sz w:val="20"/>
                <w:szCs w:val="20"/>
              </w:rPr>
              <w:t> </w:t>
            </w:r>
          </w:p>
          <w:p w14:paraId="04FEC1EF" w14:textId="52AC4B32" w:rsidR="00AF1F71" w:rsidRPr="003315EF" w:rsidRDefault="00C31A78" w:rsidP="00AF1F71">
            <w:pPr>
              <w:pStyle w:val="paragraph"/>
              <w:spacing w:before="0" w:beforeAutospacing="0" w:after="0" w:afterAutospacing="0"/>
              <w:jc w:val="both"/>
              <w:textAlignment w:val="baseline"/>
              <w:rPr>
                <w:rStyle w:val="normaltextrun"/>
                <w:color w:val="4471C4"/>
                <w:sz w:val="20"/>
                <w:szCs w:val="20"/>
              </w:rPr>
            </w:pPr>
            <w:r>
              <w:rPr>
                <w:rStyle w:val="normaltextrun"/>
                <w:color w:val="4471C4"/>
                <w:sz w:val="20"/>
                <w:szCs w:val="20"/>
              </w:rPr>
              <w:t>Se toma nota.</w:t>
            </w:r>
          </w:p>
          <w:p w14:paraId="1182A6C2" w14:textId="77777777" w:rsidR="00AF1F71" w:rsidRDefault="00AF1F71" w:rsidP="008E1BE3">
            <w:pPr>
              <w:autoSpaceDE w:val="0"/>
              <w:autoSpaceDN w:val="0"/>
              <w:adjustRightInd w:val="0"/>
              <w:jc w:val="both"/>
              <w:rPr>
                <w:sz w:val="20"/>
                <w:szCs w:val="20"/>
              </w:rPr>
            </w:pPr>
          </w:p>
          <w:p w14:paraId="0BA051BE" w14:textId="22CA5E03" w:rsidR="00587E85" w:rsidRPr="00587E85" w:rsidRDefault="00C33A3F" w:rsidP="00587E85">
            <w:pPr>
              <w:autoSpaceDE w:val="0"/>
              <w:autoSpaceDN w:val="0"/>
              <w:adjustRightInd w:val="0"/>
              <w:jc w:val="both"/>
              <w:rPr>
                <w:i/>
                <w:iCs/>
                <w:sz w:val="20"/>
                <w:szCs w:val="20"/>
              </w:rPr>
            </w:pPr>
            <w:r>
              <w:rPr>
                <w:b/>
                <w:bCs/>
                <w:sz w:val="20"/>
                <w:szCs w:val="20"/>
              </w:rPr>
              <w:t xml:space="preserve">OPC </w:t>
            </w:r>
            <w:r w:rsidRPr="002D2C6B">
              <w:rPr>
                <w:b/>
                <w:bCs/>
                <w:sz w:val="20"/>
                <w:szCs w:val="20"/>
              </w:rPr>
              <w:t>CCSS</w:t>
            </w:r>
            <w:r>
              <w:rPr>
                <w:b/>
                <w:bCs/>
                <w:sz w:val="20"/>
                <w:szCs w:val="20"/>
              </w:rPr>
              <w:t xml:space="preserve"> (</w:t>
            </w:r>
            <w:r w:rsidRPr="009D34F7">
              <w:rPr>
                <w:sz w:val="23"/>
                <w:szCs w:val="23"/>
              </w:rPr>
              <w:t>GG-287-2024</w:t>
            </w:r>
            <w:r>
              <w:rPr>
                <w:sz w:val="23"/>
                <w:szCs w:val="23"/>
              </w:rPr>
              <w:t>)</w:t>
            </w:r>
            <w:r w:rsidR="00F07D86">
              <w:rPr>
                <w:sz w:val="20"/>
                <w:szCs w:val="20"/>
              </w:rPr>
              <w:t xml:space="preserve">: </w:t>
            </w:r>
            <w:r w:rsidR="007B2F73" w:rsidRPr="007B2F73">
              <w:rPr>
                <w:sz w:val="20"/>
                <w:szCs w:val="20"/>
              </w:rPr>
              <w:t>a</w:t>
            </w:r>
            <w:r w:rsidR="007B2F73">
              <w:rPr>
                <w:sz w:val="20"/>
                <w:szCs w:val="20"/>
              </w:rPr>
              <w:t xml:space="preserve">) </w:t>
            </w:r>
            <w:r w:rsidR="007B2F73" w:rsidRPr="007B2F73">
              <w:rPr>
                <w:sz w:val="20"/>
                <w:szCs w:val="20"/>
              </w:rPr>
              <w:t>Mantener el nombre del artículo, según el SP-A-267-2024, el cual se denomina “Error de seguimiento”.</w:t>
            </w:r>
            <w:r w:rsidR="007B2F73">
              <w:rPr>
                <w:sz w:val="20"/>
                <w:szCs w:val="20"/>
              </w:rPr>
              <w:t xml:space="preserve"> b) </w:t>
            </w:r>
            <w:r w:rsidR="007B2F73" w:rsidRPr="007B2F73">
              <w:rPr>
                <w:sz w:val="20"/>
                <w:szCs w:val="20"/>
              </w:rPr>
              <w:t>Ajustar la definición de Error de seguimiento dentro de dicho artículo.</w:t>
            </w:r>
            <w:r w:rsidR="007B2F73">
              <w:rPr>
                <w:sz w:val="20"/>
                <w:szCs w:val="20"/>
              </w:rPr>
              <w:t xml:space="preserve"> c) </w:t>
            </w:r>
            <w:r w:rsidR="007B2F73" w:rsidRPr="007B2F73">
              <w:rPr>
                <w:sz w:val="20"/>
                <w:szCs w:val="20"/>
              </w:rPr>
              <w:t>Mantener el requerimiento de verificar periódicamente el rendimiento del fondo contra el rendimiento objetivo declarado en la trayectoria de inversión.</w:t>
            </w:r>
            <w:r w:rsidR="007B2F73">
              <w:rPr>
                <w:sz w:val="20"/>
                <w:szCs w:val="20"/>
              </w:rPr>
              <w:t xml:space="preserve"> d) Sugiere la siguiente redacción para el texto: </w:t>
            </w:r>
            <w:r w:rsidR="007B2F73" w:rsidRPr="00587E85">
              <w:rPr>
                <w:i/>
                <w:iCs/>
                <w:sz w:val="20"/>
                <w:szCs w:val="20"/>
              </w:rPr>
              <w:t>“</w:t>
            </w:r>
            <w:r w:rsidR="00587E85" w:rsidRPr="00587E85">
              <w:rPr>
                <w:i/>
                <w:iCs/>
                <w:sz w:val="20"/>
                <w:szCs w:val="20"/>
              </w:rPr>
              <w:t xml:space="preserve">Artículo 4. Error de seguimiento. El error de seguimiento es la desviación </w:t>
            </w:r>
            <w:r w:rsidR="00587E85" w:rsidRPr="00A60BEE">
              <w:rPr>
                <w:b/>
                <w:bCs/>
                <w:i/>
                <w:iCs/>
                <w:sz w:val="20"/>
                <w:szCs w:val="20"/>
              </w:rPr>
              <w:t>del rendimiento objetivo declarado en la trayectoria de inversión</w:t>
            </w:r>
            <w:r w:rsidR="00587E85" w:rsidRPr="00587E85">
              <w:rPr>
                <w:i/>
                <w:iCs/>
                <w:sz w:val="20"/>
                <w:szCs w:val="20"/>
              </w:rPr>
              <w:t xml:space="preserve"> por la operadora de pensiones para cada fondo generacional del Régimen Obligatorio de Pensiones Complementarias respecto de su desempeño observado. </w:t>
            </w:r>
          </w:p>
          <w:p w14:paraId="206C8BA4" w14:textId="77777777" w:rsidR="00587E85" w:rsidRPr="00587E85" w:rsidRDefault="00587E85" w:rsidP="00587E85">
            <w:pPr>
              <w:autoSpaceDE w:val="0"/>
              <w:autoSpaceDN w:val="0"/>
              <w:adjustRightInd w:val="0"/>
              <w:jc w:val="both"/>
              <w:rPr>
                <w:i/>
                <w:iCs/>
                <w:sz w:val="20"/>
                <w:szCs w:val="20"/>
              </w:rPr>
            </w:pPr>
            <w:r w:rsidRPr="00587E85">
              <w:rPr>
                <w:i/>
                <w:iCs/>
                <w:sz w:val="20"/>
                <w:szCs w:val="20"/>
              </w:rPr>
              <w:t>Los rangos de desviación deben ser declarados en la política de inversiones de cada uno de los fondos.</w:t>
            </w:r>
          </w:p>
          <w:p w14:paraId="7F35CD18" w14:textId="77777777" w:rsidR="00587E85" w:rsidRPr="00587E85" w:rsidRDefault="00587E85" w:rsidP="00587E85">
            <w:pPr>
              <w:autoSpaceDE w:val="0"/>
              <w:autoSpaceDN w:val="0"/>
              <w:adjustRightInd w:val="0"/>
              <w:jc w:val="both"/>
              <w:rPr>
                <w:i/>
                <w:iCs/>
                <w:sz w:val="20"/>
                <w:szCs w:val="20"/>
              </w:rPr>
            </w:pPr>
            <w:r w:rsidRPr="00587E85">
              <w:rPr>
                <w:i/>
                <w:iCs/>
                <w:sz w:val="20"/>
                <w:szCs w:val="20"/>
              </w:rPr>
              <w:lastRenderedPageBreak/>
              <w:t xml:space="preserve">Las operadoras de pensiones deberán verificar periódicamente el rendimiento del fondo y compararlo contra el rendimiento objetivo declarado en su trayectoria de inversión. </w:t>
            </w:r>
          </w:p>
          <w:p w14:paraId="589E5B8D" w14:textId="5E823A4E" w:rsidR="00F07D86" w:rsidRDefault="00587E85" w:rsidP="00587E85">
            <w:pPr>
              <w:autoSpaceDE w:val="0"/>
              <w:autoSpaceDN w:val="0"/>
              <w:adjustRightInd w:val="0"/>
              <w:jc w:val="both"/>
              <w:rPr>
                <w:i/>
                <w:iCs/>
                <w:sz w:val="20"/>
                <w:szCs w:val="20"/>
              </w:rPr>
            </w:pPr>
            <w:r w:rsidRPr="00587E85">
              <w:rPr>
                <w:i/>
                <w:iCs/>
                <w:sz w:val="20"/>
                <w:szCs w:val="20"/>
              </w:rPr>
              <w:t>Cuando se produzcan desviaciones, se aplicará lo que indica el artículo 6”.</w:t>
            </w:r>
          </w:p>
          <w:p w14:paraId="431F32DA" w14:textId="217F095D" w:rsidR="00E141C5" w:rsidRDefault="00E141C5" w:rsidP="00587E85">
            <w:pPr>
              <w:autoSpaceDE w:val="0"/>
              <w:autoSpaceDN w:val="0"/>
              <w:adjustRightInd w:val="0"/>
              <w:jc w:val="both"/>
              <w:rPr>
                <w:i/>
                <w:iCs/>
                <w:sz w:val="20"/>
                <w:szCs w:val="20"/>
              </w:rPr>
            </w:pPr>
          </w:p>
          <w:p w14:paraId="4DB8736A" w14:textId="23574A08" w:rsidR="009239A0" w:rsidRPr="000655B6" w:rsidRDefault="009239A0" w:rsidP="009239A0">
            <w:pPr>
              <w:pStyle w:val="paragraph"/>
              <w:spacing w:before="0" w:beforeAutospacing="0" w:after="0" w:afterAutospacing="0"/>
              <w:jc w:val="both"/>
              <w:textAlignment w:val="baseline"/>
              <w:rPr>
                <w:rStyle w:val="normaltextrun"/>
                <w:color w:val="4471C4"/>
                <w:sz w:val="20"/>
                <w:szCs w:val="20"/>
              </w:rPr>
            </w:pPr>
            <w:r w:rsidRPr="000655B6">
              <w:rPr>
                <w:rStyle w:val="normaltextrun"/>
                <w:color w:val="4471C4"/>
                <w:sz w:val="20"/>
                <w:szCs w:val="20"/>
              </w:rPr>
              <w:t>Respuesta</w:t>
            </w:r>
            <w:r w:rsidR="00A9018D" w:rsidRPr="000655B6">
              <w:rPr>
                <w:rStyle w:val="normaltextrun"/>
                <w:color w:val="4471C4"/>
                <w:sz w:val="20"/>
                <w:szCs w:val="20"/>
              </w:rPr>
              <w:t>:</w:t>
            </w:r>
            <w:r w:rsidRPr="000655B6">
              <w:rPr>
                <w:rStyle w:val="normaltextrun"/>
                <w:color w:val="4471C4"/>
                <w:sz w:val="20"/>
                <w:szCs w:val="20"/>
              </w:rPr>
              <w:t> </w:t>
            </w:r>
          </w:p>
          <w:p w14:paraId="38308239" w14:textId="06CFE665" w:rsidR="009239A0" w:rsidRPr="000655B6" w:rsidRDefault="009239A0" w:rsidP="003315EF">
            <w:pPr>
              <w:pStyle w:val="paragraph"/>
              <w:spacing w:before="0" w:beforeAutospacing="0" w:after="0" w:afterAutospacing="0"/>
              <w:textAlignment w:val="baseline"/>
              <w:rPr>
                <w:rStyle w:val="normaltextrun"/>
                <w:color w:val="4471C4"/>
                <w:sz w:val="20"/>
                <w:szCs w:val="20"/>
              </w:rPr>
            </w:pPr>
            <w:r w:rsidRPr="000655B6">
              <w:rPr>
                <w:rStyle w:val="normaltextrun"/>
                <w:color w:val="4471C4"/>
                <w:sz w:val="20"/>
                <w:szCs w:val="20"/>
              </w:rPr>
              <w:t>No se acepta</w:t>
            </w:r>
            <w:r w:rsidR="00632027" w:rsidRPr="000655B6">
              <w:rPr>
                <w:rStyle w:val="normaltextrun"/>
                <w:color w:val="4471C4"/>
                <w:sz w:val="20"/>
                <w:szCs w:val="20"/>
              </w:rPr>
              <w:t xml:space="preserve"> la observación</w:t>
            </w:r>
            <w:r w:rsidR="00927F1C" w:rsidRPr="000655B6">
              <w:rPr>
                <w:rStyle w:val="normaltextrun"/>
                <w:color w:val="4471C4"/>
                <w:sz w:val="20"/>
                <w:szCs w:val="20"/>
              </w:rPr>
              <w:t>.</w:t>
            </w:r>
            <w:r w:rsidRPr="000655B6">
              <w:rPr>
                <w:rStyle w:val="normaltextrun"/>
                <w:color w:val="4471C4"/>
                <w:sz w:val="20"/>
                <w:szCs w:val="20"/>
              </w:rPr>
              <w:t xml:space="preserve"> </w:t>
            </w:r>
            <w:r w:rsidR="003315EF" w:rsidRPr="000655B6">
              <w:rPr>
                <w:rStyle w:val="normaltextrun"/>
                <w:color w:val="4471C4"/>
                <w:sz w:val="20"/>
                <w:szCs w:val="20"/>
              </w:rPr>
              <w:t>L</w:t>
            </w:r>
            <w:r w:rsidR="00BE1D2C" w:rsidRPr="000655B6">
              <w:rPr>
                <w:rStyle w:val="normaltextrun"/>
                <w:color w:val="4471C4"/>
                <w:sz w:val="20"/>
                <w:szCs w:val="20"/>
              </w:rPr>
              <w:t xml:space="preserve">a reforma planteada trabaja en esta etapa inicial de los fondos generacionales con los desvíos sobre la trayectoria, mientras el régimen recopila información sobre el desempeño de los fondos para abordarlo </w:t>
            </w:r>
            <w:r w:rsidR="00166240" w:rsidRPr="000655B6">
              <w:rPr>
                <w:rStyle w:val="normaltextrun"/>
                <w:color w:val="4471C4"/>
                <w:sz w:val="20"/>
                <w:szCs w:val="20"/>
              </w:rPr>
              <w:t xml:space="preserve">posteriormente </w:t>
            </w:r>
            <w:r w:rsidR="00F070A7">
              <w:rPr>
                <w:rStyle w:val="normaltextrun"/>
                <w:color w:val="4471C4"/>
                <w:sz w:val="20"/>
                <w:szCs w:val="20"/>
              </w:rPr>
              <w:t>de forma cuantitativa.</w:t>
            </w:r>
          </w:p>
          <w:p w14:paraId="07F79BD6" w14:textId="77777777" w:rsidR="009239A0" w:rsidRPr="009239A0" w:rsidRDefault="009239A0" w:rsidP="00587E85">
            <w:pPr>
              <w:autoSpaceDE w:val="0"/>
              <w:autoSpaceDN w:val="0"/>
              <w:adjustRightInd w:val="0"/>
              <w:jc w:val="both"/>
              <w:rPr>
                <w:sz w:val="20"/>
                <w:szCs w:val="20"/>
              </w:rPr>
            </w:pPr>
          </w:p>
          <w:p w14:paraId="0F2E9013" w14:textId="6E3F7556" w:rsidR="001B171F" w:rsidRPr="001B171F" w:rsidRDefault="00E141C5" w:rsidP="001B171F">
            <w:pPr>
              <w:autoSpaceDE w:val="0"/>
              <w:autoSpaceDN w:val="0"/>
              <w:adjustRightInd w:val="0"/>
              <w:jc w:val="both"/>
              <w:rPr>
                <w:b/>
                <w:bCs/>
                <w:i/>
                <w:iCs/>
                <w:sz w:val="20"/>
                <w:szCs w:val="20"/>
              </w:rPr>
            </w:pPr>
            <w:r w:rsidRPr="00E141C5">
              <w:rPr>
                <w:b/>
                <w:bCs/>
                <w:sz w:val="20"/>
                <w:szCs w:val="20"/>
              </w:rPr>
              <w:t>ACOP</w:t>
            </w:r>
            <w:r w:rsidR="00C67CE9">
              <w:rPr>
                <w:b/>
                <w:bCs/>
                <w:sz w:val="20"/>
                <w:szCs w:val="20"/>
              </w:rPr>
              <w:t xml:space="preserve"> (</w:t>
            </w:r>
            <w:r w:rsidR="00C67CE9" w:rsidRPr="00855265">
              <w:rPr>
                <w:sz w:val="23"/>
                <w:szCs w:val="23"/>
              </w:rPr>
              <w:t>ACOP-037-2024</w:t>
            </w:r>
            <w:r w:rsidR="00C67CE9">
              <w:rPr>
                <w:sz w:val="23"/>
                <w:szCs w:val="23"/>
              </w:rPr>
              <w:t>)</w:t>
            </w:r>
            <w:r>
              <w:rPr>
                <w:sz w:val="20"/>
                <w:szCs w:val="20"/>
              </w:rPr>
              <w:t xml:space="preserve">: Sugiere la siguiente redacción para el texto: </w:t>
            </w:r>
            <w:r w:rsidR="001B171F" w:rsidRPr="001B171F">
              <w:rPr>
                <w:i/>
                <w:iCs/>
                <w:sz w:val="20"/>
                <w:szCs w:val="20"/>
              </w:rPr>
              <w:t xml:space="preserve">“Artículo 4. Desviación de la trayectoria. Corresponde a la diferencia entre los porcentajes por clase de activos en la trayectoria de inversión óptima y la composición del portafolio para dicha clase, en un momento dado </w:t>
            </w:r>
            <w:r w:rsidR="001B171F" w:rsidRPr="001B171F">
              <w:rPr>
                <w:b/>
                <w:bCs/>
                <w:i/>
                <w:iCs/>
                <w:sz w:val="20"/>
                <w:szCs w:val="20"/>
              </w:rPr>
              <w:t>y mide diferencia en la composición del portafolio en relación con la estrategia de asignación de activos (distribución de activos) planificada.</w:t>
            </w:r>
          </w:p>
          <w:p w14:paraId="0859D3C4" w14:textId="5F82BC54" w:rsidR="001B171F" w:rsidRPr="001B171F" w:rsidRDefault="001B171F" w:rsidP="001B171F">
            <w:pPr>
              <w:autoSpaceDE w:val="0"/>
              <w:autoSpaceDN w:val="0"/>
              <w:adjustRightInd w:val="0"/>
              <w:jc w:val="both"/>
              <w:rPr>
                <w:i/>
                <w:iCs/>
                <w:sz w:val="20"/>
                <w:szCs w:val="20"/>
              </w:rPr>
            </w:pPr>
            <w:r w:rsidRPr="001B171F">
              <w:rPr>
                <w:i/>
                <w:iCs/>
                <w:sz w:val="20"/>
                <w:szCs w:val="20"/>
              </w:rPr>
              <w:t xml:space="preserve">El órgano de dirección definirá de forma técnica los rangos tolerables de desviación para cada fondo generacional a lo largo del tiempo. </w:t>
            </w:r>
            <w:proofErr w:type="gramStart"/>
            <w:r w:rsidRPr="001B171F">
              <w:rPr>
                <w:i/>
                <w:iCs/>
                <w:sz w:val="20"/>
                <w:szCs w:val="20"/>
              </w:rPr>
              <w:t>Dichos rangos debe</w:t>
            </w:r>
            <w:proofErr w:type="gramEnd"/>
            <w:r w:rsidR="003C5156">
              <w:rPr>
                <w:i/>
                <w:iCs/>
                <w:sz w:val="20"/>
                <w:szCs w:val="20"/>
              </w:rPr>
              <w:t xml:space="preserve"> </w:t>
            </w:r>
            <w:r w:rsidRPr="00AE6DC6">
              <w:rPr>
                <w:b/>
                <w:bCs/>
                <w:i/>
                <w:iCs/>
                <w:sz w:val="20"/>
                <w:szCs w:val="20"/>
              </w:rPr>
              <w:t>ser declarados en la política de inversiones de cada uno de los fondos deben</w:t>
            </w:r>
            <w:r w:rsidRPr="001B171F">
              <w:rPr>
                <w:i/>
                <w:iCs/>
                <w:sz w:val="20"/>
                <w:szCs w:val="20"/>
              </w:rPr>
              <w:t xml:space="preserve"> considerar la Declaración de Apetito al Riesgo de acuerdo con la política de inversión y cumplir con la comunicación indicada en el artículo 8 de este acuerdo.</w:t>
            </w:r>
          </w:p>
          <w:p w14:paraId="45A3DF1B" w14:textId="5994630A" w:rsidR="00E141C5" w:rsidRDefault="001B171F" w:rsidP="001B171F">
            <w:pPr>
              <w:autoSpaceDE w:val="0"/>
              <w:autoSpaceDN w:val="0"/>
              <w:adjustRightInd w:val="0"/>
              <w:jc w:val="both"/>
              <w:rPr>
                <w:i/>
                <w:iCs/>
                <w:sz w:val="20"/>
                <w:szCs w:val="20"/>
              </w:rPr>
            </w:pPr>
            <w:r w:rsidRPr="001B171F">
              <w:rPr>
                <w:i/>
                <w:iCs/>
                <w:sz w:val="20"/>
                <w:szCs w:val="20"/>
              </w:rPr>
              <w:t>Cuando se produzcan desviaciones fuera del rango de tolerancia, la entidad aplicará lo que indica el artículo 6 de este acuerdo”.</w:t>
            </w:r>
          </w:p>
          <w:p w14:paraId="0BC73E17" w14:textId="77777777" w:rsidR="00A75E63" w:rsidRDefault="00A75E63" w:rsidP="001B171F">
            <w:pPr>
              <w:autoSpaceDE w:val="0"/>
              <w:autoSpaceDN w:val="0"/>
              <w:adjustRightInd w:val="0"/>
              <w:jc w:val="both"/>
              <w:rPr>
                <w:i/>
                <w:iCs/>
                <w:sz w:val="20"/>
                <w:szCs w:val="20"/>
              </w:rPr>
            </w:pPr>
          </w:p>
          <w:p w14:paraId="40988C7E" w14:textId="3F13A217" w:rsidR="009239A0" w:rsidRDefault="009239A0" w:rsidP="009239A0">
            <w:pPr>
              <w:pStyle w:val="paragraph"/>
              <w:spacing w:before="0" w:beforeAutospacing="0" w:after="0" w:afterAutospacing="0"/>
              <w:jc w:val="both"/>
              <w:textAlignment w:val="baseline"/>
              <w:rPr>
                <w:rFonts w:ascii="Segoe UI" w:hAnsi="Segoe UI" w:cs="Segoe UI"/>
                <w:sz w:val="18"/>
                <w:szCs w:val="18"/>
              </w:rPr>
            </w:pPr>
            <w:r>
              <w:rPr>
                <w:rStyle w:val="normaltextrun"/>
                <w:color w:val="4471C4"/>
                <w:sz w:val="20"/>
                <w:szCs w:val="20"/>
              </w:rPr>
              <w:t>Respuesta</w:t>
            </w:r>
            <w:r w:rsidR="009B62BF">
              <w:rPr>
                <w:rStyle w:val="eop"/>
                <w:color w:val="4471C4"/>
                <w:sz w:val="20"/>
                <w:szCs w:val="20"/>
              </w:rPr>
              <w:t>:</w:t>
            </w:r>
          </w:p>
          <w:p w14:paraId="53030781" w14:textId="4050C323" w:rsidR="009239A0" w:rsidRPr="009239A0" w:rsidRDefault="009239A0" w:rsidP="009239A0">
            <w:pPr>
              <w:pStyle w:val="paragraph"/>
              <w:spacing w:before="0" w:beforeAutospacing="0" w:after="0" w:afterAutospacing="0"/>
              <w:jc w:val="both"/>
              <w:textAlignment w:val="baseline"/>
              <w:rPr>
                <w:rFonts w:ascii="Segoe UI" w:hAnsi="Segoe UI" w:cs="Segoe UI"/>
                <w:sz w:val="18"/>
                <w:szCs w:val="18"/>
              </w:rPr>
            </w:pPr>
            <w:r>
              <w:rPr>
                <w:rStyle w:val="normaltextrun"/>
                <w:color w:val="4471C4"/>
                <w:sz w:val="20"/>
                <w:szCs w:val="20"/>
              </w:rPr>
              <w:t xml:space="preserve">No se acepta la inclusión de los textos sugeridos ya que redundan </w:t>
            </w:r>
            <w:r w:rsidR="003C5156">
              <w:rPr>
                <w:rStyle w:val="normaltextrun"/>
                <w:color w:val="4471C4"/>
                <w:sz w:val="20"/>
                <w:szCs w:val="20"/>
              </w:rPr>
              <w:t>e</w:t>
            </w:r>
            <w:r w:rsidR="003C5156">
              <w:rPr>
                <w:rStyle w:val="normaltextrun"/>
                <w:color w:val="4471C4"/>
              </w:rPr>
              <w:t xml:space="preserve">n </w:t>
            </w:r>
            <w:r>
              <w:rPr>
                <w:rStyle w:val="normaltextrun"/>
                <w:color w:val="4471C4"/>
                <w:sz w:val="20"/>
                <w:szCs w:val="20"/>
              </w:rPr>
              <w:t xml:space="preserve">el concepto. En </w:t>
            </w:r>
            <w:r w:rsidRPr="003C5156">
              <w:rPr>
                <w:rStyle w:val="normaltextrun"/>
                <w:color w:val="4471C4"/>
                <w:sz w:val="20"/>
                <w:szCs w:val="20"/>
              </w:rPr>
              <w:t>cuanto a</w:t>
            </w:r>
            <w:r w:rsidR="002703D5" w:rsidRPr="003C5156">
              <w:rPr>
                <w:rStyle w:val="normaltextrun"/>
                <w:color w:val="4471C4"/>
                <w:sz w:val="20"/>
                <w:szCs w:val="20"/>
              </w:rPr>
              <w:t xml:space="preserve">l </w:t>
            </w:r>
            <w:r w:rsidR="002703D5" w:rsidRPr="003C5156">
              <w:rPr>
                <w:rStyle w:val="normaltextrun"/>
                <w:color w:val="4472C4" w:themeColor="accent1"/>
                <w:sz w:val="20"/>
                <w:szCs w:val="20"/>
              </w:rPr>
              <w:t>texto “</w:t>
            </w:r>
            <w:r w:rsidR="002703D5" w:rsidRPr="003C5156">
              <w:rPr>
                <w:i/>
                <w:iCs/>
                <w:color w:val="4472C4" w:themeColor="accent1"/>
                <w:sz w:val="20"/>
                <w:szCs w:val="20"/>
              </w:rPr>
              <w:t>debe</w:t>
            </w:r>
            <w:r w:rsidR="00660C3D" w:rsidRPr="003C5156">
              <w:rPr>
                <w:i/>
                <w:iCs/>
                <w:color w:val="4472C4" w:themeColor="accent1"/>
                <w:sz w:val="20"/>
                <w:szCs w:val="20"/>
              </w:rPr>
              <w:t xml:space="preserve">n </w:t>
            </w:r>
            <w:r w:rsidR="002703D5" w:rsidRPr="003C5156">
              <w:rPr>
                <w:i/>
                <w:iCs/>
                <w:color w:val="4472C4" w:themeColor="accent1"/>
                <w:sz w:val="20"/>
                <w:szCs w:val="20"/>
              </w:rPr>
              <w:t>ser declarados en la política de inversiones de cada uno de los fondos deben”</w:t>
            </w:r>
            <w:r w:rsidRPr="003C5156">
              <w:rPr>
                <w:rStyle w:val="normaltextrun"/>
                <w:color w:val="4472C4" w:themeColor="accent1"/>
                <w:sz w:val="20"/>
                <w:szCs w:val="20"/>
              </w:rPr>
              <w:t xml:space="preserve">, ya forma </w:t>
            </w:r>
            <w:r w:rsidRPr="00660C3D">
              <w:rPr>
                <w:rStyle w:val="normaltextrun"/>
                <w:color w:val="4472C4" w:themeColor="accent1"/>
                <w:sz w:val="20"/>
                <w:szCs w:val="20"/>
              </w:rPr>
              <w:t>parte del artículo 6 del RGA</w:t>
            </w:r>
            <w:r w:rsidR="002703D5" w:rsidRPr="00660C3D">
              <w:rPr>
                <w:rStyle w:val="normaltextrun"/>
                <w:color w:val="4472C4" w:themeColor="accent1"/>
                <w:sz w:val="20"/>
                <w:szCs w:val="20"/>
              </w:rPr>
              <w:t xml:space="preserve">, por lo que no es necesario su inclusión </w:t>
            </w:r>
            <w:r w:rsidR="002703D5">
              <w:rPr>
                <w:rStyle w:val="normaltextrun"/>
                <w:color w:val="4471C4"/>
                <w:sz w:val="20"/>
                <w:szCs w:val="20"/>
              </w:rPr>
              <w:t>en este artículo</w:t>
            </w:r>
            <w:r w:rsidR="00F070A7">
              <w:rPr>
                <w:rStyle w:val="normaltextrun"/>
                <w:color w:val="4471C4"/>
                <w:sz w:val="20"/>
                <w:szCs w:val="20"/>
              </w:rPr>
              <w:t>.</w:t>
            </w:r>
          </w:p>
          <w:p w14:paraId="156B1E3B" w14:textId="7FCD6877" w:rsidR="00EE415C" w:rsidRPr="00A17857" w:rsidRDefault="00EE415C" w:rsidP="000547E1">
            <w:pPr>
              <w:jc w:val="both"/>
              <w:rPr>
                <w:b/>
                <w:iCs/>
                <w:sz w:val="20"/>
                <w:szCs w:val="20"/>
              </w:rPr>
            </w:pPr>
          </w:p>
        </w:tc>
        <w:tc>
          <w:tcPr>
            <w:tcW w:w="1235" w:type="pct"/>
            <w:shd w:val="clear" w:color="auto" w:fill="FFFFFF" w:themeFill="background1"/>
          </w:tcPr>
          <w:p w14:paraId="06D76644" w14:textId="77777777" w:rsidR="00984191" w:rsidRDefault="00984191" w:rsidP="00984191">
            <w:pPr>
              <w:pStyle w:val="paragraph"/>
              <w:spacing w:before="0" w:beforeAutospacing="0" w:after="0" w:afterAutospacing="0"/>
              <w:jc w:val="both"/>
              <w:textAlignment w:val="baseline"/>
              <w:rPr>
                <w:rFonts w:ascii="Segoe UI" w:hAnsi="Segoe UI" w:cs="Segoe UI"/>
                <w:sz w:val="18"/>
                <w:szCs w:val="18"/>
              </w:rPr>
            </w:pPr>
            <w:r>
              <w:rPr>
                <w:rStyle w:val="normaltextrun"/>
                <w:b/>
                <w:bCs/>
                <w:i/>
                <w:iCs/>
                <w:sz w:val="20"/>
                <w:szCs w:val="20"/>
              </w:rPr>
              <w:lastRenderedPageBreak/>
              <w:t>“Artículo 4. Desviación de la trayectoria</w:t>
            </w:r>
            <w:r>
              <w:rPr>
                <w:rStyle w:val="eop"/>
                <w:sz w:val="20"/>
                <w:szCs w:val="20"/>
              </w:rPr>
              <w:t> </w:t>
            </w:r>
          </w:p>
          <w:p w14:paraId="107AFFAB" w14:textId="77777777" w:rsidR="00984191" w:rsidRDefault="00984191" w:rsidP="00984191">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59AF091A" w14:textId="77777777" w:rsidR="00984191" w:rsidRDefault="00984191" w:rsidP="00984191">
            <w:pPr>
              <w:pStyle w:val="paragraph"/>
              <w:spacing w:before="0" w:beforeAutospacing="0" w:after="0" w:afterAutospacing="0"/>
              <w:jc w:val="both"/>
              <w:textAlignment w:val="baseline"/>
              <w:rPr>
                <w:rFonts w:ascii="Segoe UI" w:hAnsi="Segoe UI" w:cs="Segoe UI"/>
                <w:sz w:val="18"/>
                <w:szCs w:val="18"/>
              </w:rPr>
            </w:pPr>
            <w:r>
              <w:rPr>
                <w:rStyle w:val="normaltextrun"/>
                <w:i/>
                <w:iCs/>
                <w:sz w:val="20"/>
                <w:szCs w:val="20"/>
              </w:rPr>
              <w:t>Corresponde a la diferencia entre los porcentajes por clase de activos en la trayectoria de inversión óptima y la composición del portafolio para dicha clase, en un momento dado. </w:t>
            </w:r>
            <w:r>
              <w:rPr>
                <w:rStyle w:val="eop"/>
                <w:sz w:val="20"/>
                <w:szCs w:val="20"/>
              </w:rPr>
              <w:t> </w:t>
            </w:r>
          </w:p>
          <w:p w14:paraId="2AFD1D50" w14:textId="77777777" w:rsidR="00984191" w:rsidRDefault="00984191" w:rsidP="00984191">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4B5A4AFF" w14:textId="77777777" w:rsidR="00984191" w:rsidRDefault="00984191" w:rsidP="00984191">
            <w:pPr>
              <w:pStyle w:val="paragraph"/>
              <w:spacing w:before="0" w:beforeAutospacing="0" w:after="0" w:afterAutospacing="0"/>
              <w:jc w:val="both"/>
              <w:textAlignment w:val="baseline"/>
              <w:rPr>
                <w:rFonts w:ascii="Segoe UI" w:hAnsi="Segoe UI" w:cs="Segoe UI"/>
                <w:sz w:val="18"/>
                <w:szCs w:val="18"/>
              </w:rPr>
            </w:pPr>
            <w:r>
              <w:rPr>
                <w:rStyle w:val="normaltextrun"/>
                <w:i/>
                <w:iCs/>
                <w:sz w:val="20"/>
                <w:szCs w:val="20"/>
              </w:rPr>
              <w:t>El órgano de dirección definirá de forma técnica los rangos tolerables de desviación para cada fondo generacional a lo largo del tiempo. Dichos rangos deben considerar la Declaración de Apetito al Riesgo de acuerdo con la política de inversión y cumplir con la comunicación indicada en el artículo 8 de este acuerdo. </w:t>
            </w:r>
            <w:r>
              <w:rPr>
                <w:rStyle w:val="eop"/>
                <w:sz w:val="20"/>
                <w:szCs w:val="20"/>
              </w:rPr>
              <w:t> </w:t>
            </w:r>
          </w:p>
          <w:p w14:paraId="61FBF6AC" w14:textId="77777777" w:rsidR="00984191" w:rsidRDefault="00984191" w:rsidP="00984191">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1A32FCC1" w14:textId="77777777" w:rsidR="00984191" w:rsidRDefault="00984191" w:rsidP="00984191">
            <w:pPr>
              <w:pStyle w:val="paragraph"/>
              <w:spacing w:before="0" w:beforeAutospacing="0" w:after="0" w:afterAutospacing="0"/>
              <w:jc w:val="both"/>
              <w:textAlignment w:val="baseline"/>
              <w:rPr>
                <w:rFonts w:ascii="Segoe UI" w:hAnsi="Segoe UI" w:cs="Segoe UI"/>
                <w:sz w:val="18"/>
                <w:szCs w:val="18"/>
              </w:rPr>
            </w:pPr>
            <w:r>
              <w:rPr>
                <w:rStyle w:val="normaltextrun"/>
                <w:i/>
                <w:iCs/>
                <w:sz w:val="20"/>
                <w:szCs w:val="20"/>
              </w:rPr>
              <w:t>Cuando se produzcan desviaciones fuera del rango de tolerancia, la entidad aplicará lo que indica el artículo 6 de este acuerdo”.</w:t>
            </w:r>
            <w:r>
              <w:rPr>
                <w:rStyle w:val="eop"/>
                <w:sz w:val="20"/>
                <w:szCs w:val="20"/>
              </w:rPr>
              <w:t> </w:t>
            </w:r>
          </w:p>
          <w:p w14:paraId="31172A8B" w14:textId="77777777" w:rsidR="00984191" w:rsidRDefault="00984191" w:rsidP="00984191">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60C7D356" w14:textId="77777777" w:rsidR="00984191" w:rsidRDefault="00984191" w:rsidP="00984191">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3AD4141D" w14:textId="462C9436" w:rsidR="00CA0DC3" w:rsidRPr="00A17857" w:rsidRDefault="00CA0DC3">
            <w:pPr>
              <w:jc w:val="both"/>
              <w:rPr>
                <w:b/>
                <w:i/>
                <w:iCs/>
                <w:sz w:val="20"/>
                <w:szCs w:val="20"/>
              </w:rPr>
            </w:pPr>
          </w:p>
        </w:tc>
      </w:tr>
      <w:tr w:rsidR="00CA0DC3" w:rsidRPr="00BD5D64" w14:paraId="25B1EFAE" w14:textId="2DA8DE47" w:rsidTr="5D5FBA91">
        <w:trPr>
          <w:trHeight w:val="410"/>
        </w:trPr>
        <w:tc>
          <w:tcPr>
            <w:tcW w:w="1264" w:type="pct"/>
            <w:shd w:val="clear" w:color="auto" w:fill="FFFFFF" w:themeFill="background1"/>
          </w:tcPr>
          <w:p w14:paraId="0C9C80B1" w14:textId="77777777" w:rsidR="00CB15CC" w:rsidRPr="00A17857" w:rsidRDefault="00CB15CC" w:rsidP="00CB15CC">
            <w:pPr>
              <w:jc w:val="both"/>
              <w:rPr>
                <w:b/>
                <w:bCs/>
                <w:sz w:val="20"/>
                <w:szCs w:val="20"/>
              </w:rPr>
            </w:pPr>
            <w:r w:rsidRPr="00A17857">
              <w:rPr>
                <w:b/>
                <w:bCs/>
                <w:sz w:val="20"/>
                <w:szCs w:val="20"/>
              </w:rPr>
              <w:lastRenderedPageBreak/>
              <w:t>Artículo 6. Rebalanceo del portafolio</w:t>
            </w:r>
          </w:p>
          <w:p w14:paraId="4B743A49" w14:textId="77777777" w:rsidR="005253FB" w:rsidRPr="00A17857" w:rsidRDefault="005253FB" w:rsidP="00CB15CC">
            <w:pPr>
              <w:jc w:val="both"/>
              <w:rPr>
                <w:b/>
                <w:bCs/>
                <w:sz w:val="20"/>
                <w:szCs w:val="20"/>
              </w:rPr>
            </w:pPr>
          </w:p>
          <w:p w14:paraId="6A549C50" w14:textId="77777777" w:rsidR="005253FB" w:rsidRPr="00A17857" w:rsidRDefault="005253FB" w:rsidP="005253FB">
            <w:pPr>
              <w:jc w:val="both"/>
              <w:textAlignment w:val="baseline"/>
              <w:rPr>
                <w:sz w:val="20"/>
                <w:szCs w:val="20"/>
              </w:rPr>
            </w:pPr>
            <w:r w:rsidRPr="00A17857">
              <w:rPr>
                <w:sz w:val="20"/>
                <w:szCs w:val="20"/>
              </w:rPr>
              <w:t>La trayectoria de inversión podrá ser modificada por el Órgano de Dirección por razones técnicas debidamente justificadas, previo análisis y discusión por parte del Comité de Riesgo y de Inversiones. Igual procedimiento deberá seguirse en caso de que la operadora decida no realizar ajustes a la trayectoria de inversiones de un fondo.</w:t>
            </w:r>
          </w:p>
          <w:p w14:paraId="4AFDA72B" w14:textId="77777777" w:rsidR="005253FB" w:rsidRPr="00A17857" w:rsidRDefault="005253FB" w:rsidP="005253FB">
            <w:pPr>
              <w:jc w:val="both"/>
              <w:textAlignment w:val="baseline"/>
              <w:rPr>
                <w:sz w:val="20"/>
                <w:szCs w:val="20"/>
              </w:rPr>
            </w:pPr>
          </w:p>
          <w:p w14:paraId="0002EB00" w14:textId="77777777" w:rsidR="005253FB" w:rsidRPr="00A17857" w:rsidRDefault="005253FB" w:rsidP="005253FB">
            <w:pPr>
              <w:jc w:val="both"/>
              <w:textAlignment w:val="baseline"/>
              <w:rPr>
                <w:sz w:val="20"/>
                <w:szCs w:val="20"/>
              </w:rPr>
            </w:pPr>
            <w:r w:rsidRPr="00A17857">
              <w:rPr>
                <w:sz w:val="20"/>
                <w:szCs w:val="20"/>
              </w:rPr>
              <w:t xml:space="preserve">Cuando se presenten desvíos por seis meses consecutivos o cuando el error de seguimiento a la trayectoria de inversión sea superior a un 5%, las operadoras de pensiones deberán plantear una modificación a la trayectoria de inversión. </w:t>
            </w:r>
          </w:p>
          <w:p w14:paraId="0AFE1254" w14:textId="77777777" w:rsidR="005253FB" w:rsidRPr="00A17857" w:rsidRDefault="005253FB" w:rsidP="005253FB">
            <w:pPr>
              <w:jc w:val="both"/>
              <w:textAlignment w:val="baseline"/>
              <w:rPr>
                <w:sz w:val="20"/>
                <w:szCs w:val="20"/>
              </w:rPr>
            </w:pPr>
          </w:p>
          <w:p w14:paraId="5011E440" w14:textId="77777777" w:rsidR="005253FB" w:rsidRPr="00A17857" w:rsidRDefault="005253FB" w:rsidP="005253FB">
            <w:pPr>
              <w:jc w:val="both"/>
              <w:textAlignment w:val="baseline"/>
              <w:rPr>
                <w:sz w:val="20"/>
                <w:szCs w:val="20"/>
              </w:rPr>
            </w:pPr>
            <w:r w:rsidRPr="00A17857">
              <w:rPr>
                <w:sz w:val="20"/>
                <w:szCs w:val="20"/>
              </w:rPr>
              <w:t>La trayectoria de inversión no podrá ser modificada con el propósito de obtener resultados de rentabilidad de corto plazo. Deberá calibrarse en el tiempo para que logre alcanzar el objetivo de rentabilidad y de tasa de reemplazo declarado por cada operadora para cada uno de los fondos generacionales del Régimen Obligatorio de Pensiones Complementarias. De modificarse, la misma deberá ser inmediatamente comunicada a la Superintendencia de Pensiones y a los afiliados, por los medios correspondientes, una vez aprobada por el Órgano de Dirección.</w:t>
            </w:r>
          </w:p>
          <w:p w14:paraId="25DD30F9" w14:textId="13ADC648" w:rsidR="00CA0DC3" w:rsidRPr="00A17857" w:rsidRDefault="00CA0DC3" w:rsidP="00667DFD">
            <w:pPr>
              <w:spacing w:line="276" w:lineRule="auto"/>
              <w:jc w:val="both"/>
              <w:rPr>
                <w:sz w:val="20"/>
                <w:szCs w:val="20"/>
              </w:rPr>
            </w:pPr>
          </w:p>
        </w:tc>
        <w:tc>
          <w:tcPr>
            <w:tcW w:w="1265" w:type="pct"/>
            <w:shd w:val="clear" w:color="auto" w:fill="FFFFFF" w:themeFill="background1"/>
          </w:tcPr>
          <w:p w14:paraId="50F536C3" w14:textId="77777777" w:rsidR="00827FE1" w:rsidRPr="00A17857" w:rsidRDefault="00827FE1" w:rsidP="00827FE1">
            <w:pPr>
              <w:jc w:val="both"/>
              <w:rPr>
                <w:b/>
                <w:bCs/>
                <w:i/>
                <w:iCs/>
                <w:sz w:val="20"/>
                <w:szCs w:val="20"/>
              </w:rPr>
            </w:pPr>
            <w:r w:rsidRPr="00A17857">
              <w:rPr>
                <w:b/>
                <w:bCs/>
                <w:i/>
                <w:iCs/>
                <w:sz w:val="20"/>
                <w:szCs w:val="20"/>
              </w:rPr>
              <w:t>“Artículo 6. Modificación de la trayectoria </w:t>
            </w:r>
          </w:p>
          <w:p w14:paraId="6891B125" w14:textId="77777777" w:rsidR="00C178C7" w:rsidRPr="00A17857" w:rsidRDefault="00C178C7" w:rsidP="00827FE1">
            <w:pPr>
              <w:jc w:val="both"/>
              <w:rPr>
                <w:i/>
                <w:iCs/>
                <w:sz w:val="20"/>
                <w:szCs w:val="20"/>
              </w:rPr>
            </w:pPr>
          </w:p>
          <w:p w14:paraId="6A42A5BD" w14:textId="3B989B7C" w:rsidR="00827FE1" w:rsidRDefault="00827FE1" w:rsidP="00827FE1">
            <w:pPr>
              <w:jc w:val="both"/>
              <w:rPr>
                <w:i/>
                <w:iCs/>
                <w:sz w:val="20"/>
                <w:szCs w:val="20"/>
              </w:rPr>
            </w:pPr>
            <w:r w:rsidRPr="00A17857">
              <w:rPr>
                <w:i/>
                <w:iCs/>
                <w:sz w:val="20"/>
                <w:szCs w:val="20"/>
              </w:rPr>
              <w:t xml:space="preserve">La trayectoria de inversión podrá ser modificada por el Órgano de Dirección por razones técnicas debidamente justificadas, previo análisis y discusión por parte del Comité de Riesgo y de Inversiones. Igual procedimiento deberá observar </w:t>
            </w:r>
            <w:r w:rsidRPr="00E75C15">
              <w:rPr>
                <w:i/>
                <w:iCs/>
                <w:sz w:val="20"/>
                <w:szCs w:val="20"/>
              </w:rPr>
              <w:t>cuando la operadora decida no realizar ajustes</w:t>
            </w:r>
            <w:r w:rsidRPr="00A17857">
              <w:rPr>
                <w:i/>
                <w:iCs/>
                <w:sz w:val="20"/>
                <w:szCs w:val="20"/>
              </w:rPr>
              <w:t xml:space="preserve"> a la trayectoria de inversiones de un fondo. </w:t>
            </w:r>
          </w:p>
          <w:p w14:paraId="2FF662F4" w14:textId="77777777" w:rsidR="00943860" w:rsidRPr="00A17857" w:rsidRDefault="00943860" w:rsidP="00827FE1">
            <w:pPr>
              <w:jc w:val="both"/>
              <w:rPr>
                <w:i/>
                <w:iCs/>
                <w:sz w:val="20"/>
                <w:szCs w:val="20"/>
              </w:rPr>
            </w:pPr>
          </w:p>
          <w:p w14:paraId="19DD27C4" w14:textId="77777777" w:rsidR="00827FE1" w:rsidRPr="00A17857" w:rsidRDefault="00827FE1" w:rsidP="00827FE1">
            <w:pPr>
              <w:jc w:val="both"/>
              <w:rPr>
                <w:i/>
                <w:iCs/>
                <w:sz w:val="20"/>
                <w:szCs w:val="20"/>
              </w:rPr>
            </w:pPr>
            <w:r w:rsidRPr="00A17857">
              <w:rPr>
                <w:i/>
                <w:iCs/>
                <w:sz w:val="20"/>
                <w:szCs w:val="20"/>
              </w:rPr>
              <w:t>La trayectoria de inversión no podrá ser modificada con el propósito de obtener resultados de rentabilidad de corto plazo. Deberá calibrarse en el tiempo para lograr alcanzar el objetivo de rentabilidad y de tasa de reemplazo declarado por cada operadora para cada uno de los fondos generacionales del Régimen Obligatorio de Pensiones Complementarias. De modificarse, la misma deberá ser inmediatamente comunicada a la Superintendencia de Pensiones y a los afiliados, por los medios correspondientes, una vez aprobada por el Órgano de Dirección.”</w:t>
            </w:r>
          </w:p>
          <w:p w14:paraId="37261D64" w14:textId="67B531BB" w:rsidR="00CA0DC3" w:rsidRPr="00A17857" w:rsidRDefault="00CA0DC3" w:rsidP="00827FE1">
            <w:pPr>
              <w:jc w:val="both"/>
              <w:rPr>
                <w:i/>
                <w:iCs/>
                <w:sz w:val="20"/>
                <w:szCs w:val="20"/>
              </w:rPr>
            </w:pPr>
          </w:p>
        </w:tc>
        <w:tc>
          <w:tcPr>
            <w:tcW w:w="1236" w:type="pct"/>
            <w:shd w:val="clear" w:color="auto" w:fill="FFFFFF" w:themeFill="background1"/>
          </w:tcPr>
          <w:p w14:paraId="35AE4BDC" w14:textId="79494376" w:rsidR="001901DB" w:rsidRDefault="001901DB" w:rsidP="00B53D78">
            <w:pPr>
              <w:jc w:val="both"/>
              <w:rPr>
                <w:bCs/>
                <w:iCs/>
                <w:sz w:val="20"/>
                <w:szCs w:val="20"/>
              </w:rPr>
            </w:pPr>
            <w:r>
              <w:rPr>
                <w:b/>
                <w:iCs/>
                <w:sz w:val="20"/>
                <w:szCs w:val="20"/>
              </w:rPr>
              <w:t xml:space="preserve">BAC </w:t>
            </w:r>
            <w:r>
              <w:rPr>
                <w:bCs/>
                <w:iCs/>
                <w:sz w:val="20"/>
                <w:szCs w:val="20"/>
              </w:rPr>
              <w:t>(BAC-OPC-154</w:t>
            </w:r>
            <w:r w:rsidR="003F3F36">
              <w:rPr>
                <w:bCs/>
                <w:iCs/>
                <w:sz w:val="20"/>
                <w:szCs w:val="20"/>
              </w:rPr>
              <w:t xml:space="preserve">-2’24): </w:t>
            </w:r>
            <w:r w:rsidR="003F3F36" w:rsidRPr="003F3F36">
              <w:rPr>
                <w:bCs/>
                <w:iCs/>
                <w:sz w:val="20"/>
                <w:szCs w:val="20"/>
              </w:rPr>
              <w:t>no tenemos comentarios ni observaciones adicionales a las ya planteadas en el oficio BAC-OPC-150-2024 del 13 de setiembre de 2024</w:t>
            </w:r>
            <w:r w:rsidR="003F3F36">
              <w:rPr>
                <w:bCs/>
                <w:iCs/>
                <w:sz w:val="20"/>
                <w:szCs w:val="20"/>
              </w:rPr>
              <w:t>.</w:t>
            </w:r>
          </w:p>
          <w:p w14:paraId="5250E518" w14:textId="77777777" w:rsidR="003F3F36" w:rsidRDefault="003F3F36" w:rsidP="00B53D78">
            <w:pPr>
              <w:jc w:val="both"/>
              <w:rPr>
                <w:bCs/>
                <w:iCs/>
                <w:sz w:val="20"/>
                <w:szCs w:val="20"/>
              </w:rPr>
            </w:pPr>
          </w:p>
          <w:p w14:paraId="6DB87354" w14:textId="77777777" w:rsidR="00A75E63" w:rsidRDefault="00AF47A8" w:rsidP="00B53D78">
            <w:pPr>
              <w:jc w:val="both"/>
              <w:rPr>
                <w:bCs/>
                <w:iCs/>
                <w:color w:val="4472C4" w:themeColor="accent1"/>
                <w:sz w:val="20"/>
                <w:szCs w:val="20"/>
              </w:rPr>
            </w:pPr>
            <w:r w:rsidRPr="00AF47A8">
              <w:rPr>
                <w:bCs/>
                <w:iCs/>
                <w:color w:val="4472C4" w:themeColor="accent1"/>
                <w:sz w:val="20"/>
                <w:szCs w:val="20"/>
              </w:rPr>
              <w:t xml:space="preserve">Respuesta: </w:t>
            </w:r>
          </w:p>
          <w:p w14:paraId="1F97E811" w14:textId="3007AEE5" w:rsidR="00AF47A8" w:rsidRPr="00AF47A8" w:rsidRDefault="004F6462" w:rsidP="00B53D78">
            <w:pPr>
              <w:jc w:val="both"/>
              <w:rPr>
                <w:bCs/>
                <w:iCs/>
                <w:color w:val="4472C4" w:themeColor="accent1"/>
                <w:sz w:val="20"/>
                <w:szCs w:val="20"/>
              </w:rPr>
            </w:pPr>
            <w:r>
              <w:rPr>
                <w:bCs/>
                <w:iCs/>
                <w:color w:val="4472C4" w:themeColor="accent1"/>
                <w:sz w:val="20"/>
                <w:szCs w:val="20"/>
              </w:rPr>
              <w:t>Se toma nota.</w:t>
            </w:r>
          </w:p>
          <w:p w14:paraId="515F3013" w14:textId="3EAF221C" w:rsidR="00AF47A8" w:rsidRPr="001901DB" w:rsidRDefault="00AF47A8" w:rsidP="00B53D78">
            <w:pPr>
              <w:jc w:val="both"/>
              <w:rPr>
                <w:bCs/>
                <w:iCs/>
                <w:sz w:val="20"/>
                <w:szCs w:val="20"/>
              </w:rPr>
            </w:pPr>
          </w:p>
          <w:p w14:paraId="30D4A746" w14:textId="618490A7" w:rsidR="008E2899" w:rsidRDefault="000547E1" w:rsidP="00B53D78">
            <w:pPr>
              <w:jc w:val="both"/>
              <w:rPr>
                <w:sz w:val="20"/>
                <w:szCs w:val="20"/>
              </w:rPr>
            </w:pPr>
            <w:r w:rsidRPr="00A17857">
              <w:rPr>
                <w:b/>
                <w:iCs/>
                <w:sz w:val="20"/>
                <w:szCs w:val="20"/>
              </w:rPr>
              <w:t>BN Vital</w:t>
            </w:r>
            <w:r w:rsidR="00474566">
              <w:rPr>
                <w:b/>
                <w:iCs/>
                <w:sz w:val="20"/>
                <w:szCs w:val="20"/>
              </w:rPr>
              <w:t xml:space="preserve"> (</w:t>
            </w:r>
            <w:r w:rsidR="00474566" w:rsidRPr="0017565C">
              <w:rPr>
                <w:sz w:val="23"/>
                <w:szCs w:val="23"/>
              </w:rPr>
              <w:t>BNVital-GG-286-2024</w:t>
            </w:r>
            <w:r w:rsidR="00474566">
              <w:rPr>
                <w:sz w:val="23"/>
                <w:szCs w:val="23"/>
              </w:rPr>
              <w:t>)</w:t>
            </w:r>
            <w:r w:rsidRPr="00A17857">
              <w:rPr>
                <w:b/>
                <w:iCs/>
                <w:sz w:val="20"/>
                <w:szCs w:val="20"/>
              </w:rPr>
              <w:t xml:space="preserve">: </w:t>
            </w:r>
            <w:r w:rsidR="00B53D78" w:rsidRPr="00A17857">
              <w:rPr>
                <w:sz w:val="20"/>
                <w:szCs w:val="20"/>
              </w:rPr>
              <w:t>Como se cambia el concepto de “error de seguimiento” por “Desviación de la trayectoria” se debe indicar en el artículo sexto si el 5%, o el porcentaje que defina el Órgano de Dirección aplica sobre la “Desviación de la trayectoria” u otro indicador distinto o se elimina del todo. Sobre este particular también requerimos se nos aclare lo correspondiente.</w:t>
            </w:r>
          </w:p>
          <w:p w14:paraId="15561AB2" w14:textId="77777777" w:rsidR="00F85E4E" w:rsidRDefault="00F85E4E" w:rsidP="00B53D78">
            <w:pPr>
              <w:jc w:val="both"/>
              <w:rPr>
                <w:sz w:val="20"/>
                <w:szCs w:val="20"/>
              </w:rPr>
            </w:pPr>
          </w:p>
          <w:p w14:paraId="55EC3A93" w14:textId="77777777" w:rsidR="00A658ED" w:rsidRPr="00A658ED" w:rsidRDefault="00F85E4E" w:rsidP="00A658ED">
            <w:pPr>
              <w:jc w:val="both"/>
              <w:rPr>
                <w:sz w:val="20"/>
                <w:szCs w:val="20"/>
              </w:rPr>
            </w:pPr>
            <w:r w:rsidRPr="00474566">
              <w:rPr>
                <w:b/>
                <w:bCs/>
                <w:sz w:val="20"/>
                <w:szCs w:val="20"/>
              </w:rPr>
              <w:t>BN Vital</w:t>
            </w:r>
            <w:r w:rsidR="00474566">
              <w:rPr>
                <w:sz w:val="20"/>
                <w:szCs w:val="20"/>
              </w:rPr>
              <w:t xml:space="preserve"> (</w:t>
            </w:r>
            <w:r w:rsidR="00474566" w:rsidRPr="00474566">
              <w:rPr>
                <w:sz w:val="20"/>
                <w:szCs w:val="20"/>
              </w:rPr>
              <w:t>BNVital-GG-299-2024</w:t>
            </w:r>
            <w:r w:rsidR="00474566">
              <w:rPr>
                <w:sz w:val="20"/>
                <w:szCs w:val="20"/>
              </w:rPr>
              <w:t>)</w:t>
            </w:r>
            <w:r>
              <w:rPr>
                <w:sz w:val="20"/>
                <w:szCs w:val="20"/>
              </w:rPr>
              <w:t>:</w:t>
            </w:r>
            <w:r w:rsidR="00A658ED">
              <w:rPr>
                <w:sz w:val="20"/>
                <w:szCs w:val="20"/>
              </w:rPr>
              <w:t xml:space="preserve"> </w:t>
            </w:r>
            <w:r w:rsidR="00A658ED" w:rsidRPr="00A658ED">
              <w:rPr>
                <w:sz w:val="20"/>
                <w:szCs w:val="20"/>
              </w:rPr>
              <w:t xml:space="preserve">el artículo citado acoge nuestras recomendaciones propuestas remitidas </w:t>
            </w:r>
          </w:p>
          <w:p w14:paraId="07FC65CC" w14:textId="3B2911DE" w:rsidR="00F85E4E" w:rsidRDefault="00A658ED" w:rsidP="00A658ED">
            <w:pPr>
              <w:jc w:val="both"/>
              <w:rPr>
                <w:sz w:val="20"/>
                <w:szCs w:val="20"/>
              </w:rPr>
            </w:pPr>
            <w:r w:rsidRPr="00A658ED">
              <w:rPr>
                <w:sz w:val="20"/>
                <w:szCs w:val="20"/>
              </w:rPr>
              <w:t>mediante el oficio BNVital-GG-286-2024, remitido el 12 de septiembre del año en curso</w:t>
            </w:r>
            <w:r w:rsidR="00D80C83">
              <w:rPr>
                <w:sz w:val="20"/>
                <w:szCs w:val="20"/>
              </w:rPr>
              <w:t>.</w:t>
            </w:r>
          </w:p>
          <w:p w14:paraId="4548614B" w14:textId="77777777" w:rsidR="00D80C83" w:rsidRDefault="00D80C83" w:rsidP="00A658ED">
            <w:pPr>
              <w:jc w:val="both"/>
              <w:rPr>
                <w:sz w:val="20"/>
                <w:szCs w:val="20"/>
              </w:rPr>
            </w:pPr>
          </w:p>
          <w:p w14:paraId="2554CA6E" w14:textId="77777777" w:rsidR="00BD2266" w:rsidRDefault="00BD2266" w:rsidP="00BD2266">
            <w:pPr>
              <w:pStyle w:val="paragraph"/>
              <w:spacing w:before="0" w:beforeAutospacing="0" w:after="0" w:afterAutospacing="0"/>
              <w:jc w:val="both"/>
              <w:textAlignment w:val="baseline"/>
              <w:rPr>
                <w:rFonts w:ascii="Segoe UI" w:hAnsi="Segoe UI" w:cs="Segoe UI"/>
                <w:sz w:val="18"/>
                <w:szCs w:val="18"/>
              </w:rPr>
            </w:pPr>
            <w:r>
              <w:rPr>
                <w:rStyle w:val="normaltextrun"/>
                <w:color w:val="4471C4"/>
                <w:sz w:val="20"/>
                <w:szCs w:val="20"/>
              </w:rPr>
              <w:t>Respuesta: </w:t>
            </w:r>
            <w:r>
              <w:rPr>
                <w:rStyle w:val="eop"/>
                <w:color w:val="4471C4"/>
                <w:sz w:val="20"/>
                <w:szCs w:val="20"/>
              </w:rPr>
              <w:t> </w:t>
            </w:r>
          </w:p>
          <w:p w14:paraId="40E6A0A6" w14:textId="50CB3F75" w:rsidR="00BD2266" w:rsidRDefault="00BD2266" w:rsidP="00BD2266">
            <w:pPr>
              <w:pStyle w:val="paragraph"/>
              <w:spacing w:before="0" w:beforeAutospacing="0" w:after="0" w:afterAutospacing="0"/>
              <w:jc w:val="both"/>
              <w:textAlignment w:val="baseline"/>
              <w:rPr>
                <w:rFonts w:ascii="Segoe UI" w:hAnsi="Segoe UI" w:cs="Segoe UI"/>
                <w:sz w:val="18"/>
                <w:szCs w:val="18"/>
              </w:rPr>
            </w:pPr>
            <w:r>
              <w:rPr>
                <w:rStyle w:val="normaltextrun"/>
                <w:color w:val="4471C4"/>
                <w:sz w:val="20"/>
                <w:szCs w:val="20"/>
              </w:rPr>
              <w:t xml:space="preserve">Se acepta y se </w:t>
            </w:r>
            <w:r w:rsidR="00DF3073">
              <w:rPr>
                <w:rStyle w:val="normaltextrun"/>
                <w:color w:val="4471C4"/>
                <w:sz w:val="20"/>
                <w:szCs w:val="20"/>
              </w:rPr>
              <w:t xml:space="preserve">atiende con la modificación del </w:t>
            </w:r>
            <w:r>
              <w:rPr>
                <w:rStyle w:val="normaltextrun"/>
                <w:color w:val="4471C4"/>
                <w:sz w:val="20"/>
                <w:szCs w:val="20"/>
              </w:rPr>
              <w:t>artículo 6.</w:t>
            </w:r>
            <w:r>
              <w:rPr>
                <w:rStyle w:val="eop"/>
                <w:color w:val="4471C4"/>
                <w:sz w:val="20"/>
                <w:szCs w:val="20"/>
              </w:rPr>
              <w:t> </w:t>
            </w:r>
          </w:p>
          <w:p w14:paraId="67D84758" w14:textId="77777777" w:rsidR="00BD2266" w:rsidRDefault="00BD2266" w:rsidP="00A658ED">
            <w:pPr>
              <w:jc w:val="both"/>
              <w:rPr>
                <w:sz w:val="20"/>
                <w:szCs w:val="20"/>
              </w:rPr>
            </w:pPr>
          </w:p>
          <w:p w14:paraId="3866FBCA" w14:textId="7D4E1310" w:rsidR="00D80C83" w:rsidRDefault="00D80C83" w:rsidP="00D80C83">
            <w:pPr>
              <w:jc w:val="both"/>
              <w:rPr>
                <w:sz w:val="20"/>
                <w:szCs w:val="20"/>
              </w:rPr>
            </w:pPr>
            <w:r w:rsidRPr="00D80C83">
              <w:rPr>
                <w:b/>
                <w:bCs/>
                <w:sz w:val="20"/>
                <w:szCs w:val="20"/>
              </w:rPr>
              <w:t>Popular Pensiones</w:t>
            </w:r>
            <w:r>
              <w:rPr>
                <w:sz w:val="20"/>
                <w:szCs w:val="20"/>
              </w:rPr>
              <w:t xml:space="preserve"> (PEN-0831-2024): </w:t>
            </w:r>
            <w:r w:rsidRPr="00D80C83">
              <w:rPr>
                <w:sz w:val="20"/>
                <w:szCs w:val="20"/>
              </w:rPr>
              <w:t>es fundamental definir con claridad el plazo y los medios de comunicación que se utilizarán para informar a los afiliados, en caso de que se apliquen cambios en la trayectoria de inversión</w:t>
            </w:r>
            <w:r w:rsidR="00E60FE5">
              <w:rPr>
                <w:sz w:val="20"/>
                <w:szCs w:val="20"/>
              </w:rPr>
              <w:t>.</w:t>
            </w:r>
          </w:p>
          <w:p w14:paraId="3259D0C0" w14:textId="77777777" w:rsidR="00632027" w:rsidRDefault="00632027" w:rsidP="00D80C83">
            <w:pPr>
              <w:jc w:val="both"/>
              <w:rPr>
                <w:sz w:val="20"/>
                <w:szCs w:val="20"/>
              </w:rPr>
            </w:pPr>
          </w:p>
          <w:p w14:paraId="409AEB8A" w14:textId="39285B2E" w:rsidR="00E60FE5" w:rsidRPr="00425541" w:rsidRDefault="00425541" w:rsidP="00D80C83">
            <w:pPr>
              <w:jc w:val="both"/>
              <w:rPr>
                <w:color w:val="4472C4" w:themeColor="accent1"/>
                <w:sz w:val="20"/>
                <w:szCs w:val="20"/>
              </w:rPr>
            </w:pPr>
            <w:r w:rsidRPr="00425541">
              <w:rPr>
                <w:color w:val="4472C4" w:themeColor="accent1"/>
                <w:sz w:val="20"/>
                <w:szCs w:val="20"/>
              </w:rPr>
              <w:t>Respuesta:</w:t>
            </w:r>
          </w:p>
          <w:p w14:paraId="6CBD15CB" w14:textId="1255D382" w:rsidR="00425541" w:rsidRPr="00425541" w:rsidRDefault="00D10A51" w:rsidP="00D80C83">
            <w:pPr>
              <w:jc w:val="both"/>
              <w:rPr>
                <w:color w:val="4472C4" w:themeColor="accent1"/>
                <w:sz w:val="20"/>
                <w:szCs w:val="20"/>
              </w:rPr>
            </w:pPr>
            <w:r>
              <w:rPr>
                <w:color w:val="4472C4" w:themeColor="accent1"/>
                <w:sz w:val="20"/>
                <w:szCs w:val="20"/>
              </w:rPr>
              <w:t>Se aclara que la comunicación a los afiliados se realiza de conformidad con el artículo 75 del Reglamento de Gestión de Activos (folleto informativo)</w:t>
            </w:r>
            <w:r w:rsidR="00425541" w:rsidRPr="00425541">
              <w:rPr>
                <w:color w:val="4472C4" w:themeColor="accent1"/>
                <w:sz w:val="20"/>
                <w:szCs w:val="20"/>
              </w:rPr>
              <w:t>.</w:t>
            </w:r>
          </w:p>
          <w:p w14:paraId="43928681" w14:textId="77777777" w:rsidR="00C84757" w:rsidRDefault="00C84757" w:rsidP="00B53D78">
            <w:pPr>
              <w:jc w:val="both"/>
              <w:rPr>
                <w:b/>
                <w:iCs/>
                <w:sz w:val="20"/>
                <w:szCs w:val="20"/>
              </w:rPr>
            </w:pPr>
          </w:p>
          <w:p w14:paraId="6CDFA96A" w14:textId="39EE3CB4" w:rsidR="009743DA" w:rsidRDefault="009743DA" w:rsidP="00B53D78">
            <w:pPr>
              <w:jc w:val="both"/>
              <w:rPr>
                <w:bCs/>
                <w:iCs/>
                <w:sz w:val="20"/>
                <w:szCs w:val="20"/>
              </w:rPr>
            </w:pPr>
            <w:r>
              <w:rPr>
                <w:b/>
                <w:iCs/>
                <w:sz w:val="20"/>
                <w:szCs w:val="20"/>
              </w:rPr>
              <w:t>BCR</w:t>
            </w:r>
            <w:r w:rsidR="00C67CE9">
              <w:rPr>
                <w:b/>
                <w:iCs/>
                <w:sz w:val="20"/>
                <w:szCs w:val="20"/>
              </w:rPr>
              <w:t xml:space="preserve"> (</w:t>
            </w:r>
            <w:r w:rsidR="00C67CE9" w:rsidRPr="00EE6A85">
              <w:rPr>
                <w:sz w:val="23"/>
                <w:szCs w:val="23"/>
              </w:rPr>
              <w:t>BCROPC-323-24</w:t>
            </w:r>
            <w:r w:rsidR="00C67CE9">
              <w:rPr>
                <w:sz w:val="23"/>
                <w:szCs w:val="23"/>
              </w:rPr>
              <w:t>)</w:t>
            </w:r>
            <w:r>
              <w:rPr>
                <w:b/>
                <w:iCs/>
                <w:sz w:val="20"/>
                <w:szCs w:val="20"/>
              </w:rPr>
              <w:t xml:space="preserve">: </w:t>
            </w:r>
            <w:r w:rsidRPr="009743DA">
              <w:rPr>
                <w:bCs/>
                <w:iCs/>
                <w:sz w:val="20"/>
                <w:szCs w:val="20"/>
              </w:rPr>
              <w:t xml:space="preserve">Sobre la modificación del artículo 6, en donde únicamente se plantea la modificación del título, consideramos que, con miras a poder ajustar los portafolios a la trayectoria óptima, se requiere 12 meses de plazo previo a que entre a regir el límite del 5% establecido en dicho artículo. Este ajuste </w:t>
            </w:r>
            <w:r w:rsidRPr="009743DA">
              <w:rPr>
                <w:bCs/>
                <w:iCs/>
                <w:sz w:val="20"/>
                <w:szCs w:val="20"/>
              </w:rPr>
              <w:lastRenderedPageBreak/>
              <w:t>sería congruente con el transitorio planteado en la consulta.</w:t>
            </w:r>
          </w:p>
          <w:p w14:paraId="014E14C0" w14:textId="77777777" w:rsidR="00C84757" w:rsidRDefault="00C84757" w:rsidP="00B53D78">
            <w:pPr>
              <w:jc w:val="both"/>
              <w:rPr>
                <w:bCs/>
                <w:iCs/>
              </w:rPr>
            </w:pPr>
          </w:p>
          <w:p w14:paraId="0F3382B1" w14:textId="77777777" w:rsidR="00C84757" w:rsidRDefault="00C84757" w:rsidP="00C84757">
            <w:pPr>
              <w:pStyle w:val="paragraph"/>
              <w:spacing w:before="0" w:beforeAutospacing="0" w:after="0" w:afterAutospacing="0"/>
              <w:jc w:val="both"/>
              <w:textAlignment w:val="baseline"/>
              <w:rPr>
                <w:rFonts w:ascii="Segoe UI" w:hAnsi="Segoe UI" w:cs="Segoe UI"/>
                <w:sz w:val="18"/>
                <w:szCs w:val="18"/>
              </w:rPr>
            </w:pPr>
            <w:r>
              <w:rPr>
                <w:rStyle w:val="normaltextrun"/>
                <w:color w:val="4471C4"/>
                <w:sz w:val="20"/>
                <w:szCs w:val="20"/>
              </w:rPr>
              <w:t>Respuesta: </w:t>
            </w:r>
            <w:r>
              <w:rPr>
                <w:rStyle w:val="eop"/>
                <w:color w:val="4471C4"/>
                <w:sz w:val="20"/>
                <w:szCs w:val="20"/>
              </w:rPr>
              <w:t> </w:t>
            </w:r>
          </w:p>
          <w:p w14:paraId="3A41F3D2" w14:textId="108BBD92" w:rsidR="00C84757" w:rsidRPr="00C84757" w:rsidRDefault="00C84757" w:rsidP="00C84757">
            <w:pPr>
              <w:pStyle w:val="paragraph"/>
              <w:spacing w:before="0" w:beforeAutospacing="0" w:after="0" w:afterAutospacing="0"/>
              <w:jc w:val="both"/>
              <w:textAlignment w:val="baseline"/>
              <w:rPr>
                <w:rFonts w:ascii="Segoe UI" w:hAnsi="Segoe UI" w:cs="Segoe UI"/>
                <w:sz w:val="18"/>
                <w:szCs w:val="18"/>
              </w:rPr>
            </w:pPr>
            <w:r>
              <w:rPr>
                <w:rStyle w:val="normaltextrun"/>
                <w:color w:val="4471C4"/>
                <w:sz w:val="20"/>
                <w:szCs w:val="20"/>
              </w:rPr>
              <w:t>Se acepta y se atiende con la modificación del artículo 6.</w:t>
            </w:r>
            <w:r>
              <w:rPr>
                <w:rStyle w:val="eop"/>
                <w:color w:val="4471C4"/>
                <w:sz w:val="20"/>
                <w:szCs w:val="20"/>
              </w:rPr>
              <w:t> </w:t>
            </w:r>
          </w:p>
          <w:p w14:paraId="6D4B88A0" w14:textId="77777777" w:rsidR="001E0867" w:rsidRDefault="001E0867" w:rsidP="00B53D78">
            <w:pPr>
              <w:jc w:val="both"/>
              <w:rPr>
                <w:b/>
                <w:bCs/>
                <w:iCs/>
                <w:sz w:val="20"/>
                <w:szCs w:val="20"/>
              </w:rPr>
            </w:pPr>
          </w:p>
          <w:p w14:paraId="3D877C0E" w14:textId="409D9F19" w:rsidR="001E0867" w:rsidRDefault="001E0867" w:rsidP="00B53D78">
            <w:pPr>
              <w:jc w:val="both"/>
              <w:rPr>
                <w:iCs/>
                <w:sz w:val="20"/>
                <w:szCs w:val="20"/>
              </w:rPr>
            </w:pPr>
            <w:r>
              <w:rPr>
                <w:b/>
                <w:bCs/>
                <w:iCs/>
                <w:sz w:val="20"/>
                <w:szCs w:val="20"/>
              </w:rPr>
              <w:t>Vida Plena</w:t>
            </w:r>
            <w:r w:rsidR="00097BE7">
              <w:rPr>
                <w:b/>
                <w:bCs/>
                <w:iCs/>
                <w:sz w:val="20"/>
                <w:szCs w:val="20"/>
              </w:rPr>
              <w:t xml:space="preserve"> </w:t>
            </w:r>
            <w:r w:rsidR="00097BE7" w:rsidRPr="00097BE7">
              <w:rPr>
                <w:b/>
                <w:bCs/>
                <w:iCs/>
                <w:sz w:val="20"/>
                <w:szCs w:val="20"/>
              </w:rPr>
              <w:t>(</w:t>
            </w:r>
            <w:r w:rsidR="00097BE7" w:rsidRPr="00097BE7">
              <w:rPr>
                <w:sz w:val="20"/>
                <w:szCs w:val="20"/>
              </w:rPr>
              <w:t>GG-114-2024)</w:t>
            </w:r>
            <w:r>
              <w:rPr>
                <w:b/>
                <w:bCs/>
                <w:iCs/>
                <w:sz w:val="20"/>
                <w:szCs w:val="20"/>
              </w:rPr>
              <w:t xml:space="preserve">: </w:t>
            </w:r>
            <w:r w:rsidRPr="001E0867">
              <w:rPr>
                <w:iCs/>
                <w:sz w:val="20"/>
                <w:szCs w:val="20"/>
              </w:rPr>
              <w:t>En el artículo 6 actual no se modificó y se mantiene un 5% máximo de desvío de la trayectoria, con lo cual por restricción regulatoria hace innecesaria la decisión de la Junta Directiva de modificar la trayectoria de inversión. De manera consistente, hemos venido reiterando la necesidad de ampliar el desvío máximo durante un periodo que denominamos transición cercana a los 3 años. Principalmente, como protección a los afiliados por eventuales recomposiciones, rebalanceos o modificaciones de trayectoria, este último según la modificación del título del artículo 6.</w:t>
            </w:r>
          </w:p>
          <w:p w14:paraId="0785A426" w14:textId="77777777" w:rsidR="004E0C83" w:rsidRDefault="004E0C83" w:rsidP="00B53D78">
            <w:pPr>
              <w:jc w:val="both"/>
              <w:rPr>
                <w:iCs/>
                <w:sz w:val="20"/>
                <w:szCs w:val="20"/>
              </w:rPr>
            </w:pPr>
          </w:p>
          <w:p w14:paraId="1B27A0EC" w14:textId="10843D11" w:rsidR="004E0C83" w:rsidRDefault="004E0C83" w:rsidP="00B53D78">
            <w:pPr>
              <w:jc w:val="both"/>
              <w:rPr>
                <w:iCs/>
                <w:sz w:val="20"/>
                <w:szCs w:val="20"/>
              </w:rPr>
            </w:pPr>
            <w:r w:rsidRPr="00097BE7">
              <w:rPr>
                <w:b/>
                <w:bCs/>
                <w:iCs/>
                <w:sz w:val="20"/>
                <w:szCs w:val="20"/>
              </w:rPr>
              <w:t>Vida Plena</w:t>
            </w:r>
            <w:r>
              <w:rPr>
                <w:iCs/>
                <w:sz w:val="20"/>
                <w:szCs w:val="20"/>
              </w:rPr>
              <w:t xml:space="preserve"> (</w:t>
            </w:r>
            <w:r w:rsidR="00097BE7" w:rsidRPr="00097BE7">
              <w:rPr>
                <w:sz w:val="20"/>
                <w:szCs w:val="20"/>
              </w:rPr>
              <w:t>GG-120-2024</w:t>
            </w:r>
            <w:r w:rsidR="00097BE7" w:rsidRPr="00097BE7">
              <w:rPr>
                <w:iCs/>
                <w:sz w:val="20"/>
                <w:szCs w:val="20"/>
              </w:rPr>
              <w:t>):</w:t>
            </w:r>
            <w:r w:rsidR="00616942">
              <w:rPr>
                <w:iCs/>
                <w:sz w:val="20"/>
                <w:szCs w:val="20"/>
              </w:rPr>
              <w:t xml:space="preserve"> </w:t>
            </w:r>
            <w:r w:rsidRPr="00097BE7">
              <w:rPr>
                <w:iCs/>
                <w:sz w:val="20"/>
                <w:szCs w:val="20"/>
              </w:rPr>
              <w:t>c</w:t>
            </w:r>
            <w:r w:rsidRPr="004E0C83">
              <w:rPr>
                <w:iCs/>
                <w:sz w:val="20"/>
                <w:szCs w:val="20"/>
              </w:rPr>
              <w:t>on la realización de ese ajuste se subsana lo que se manifestó en el oficio GG-114-2024, respecto a la propuesta del SP-A-267 entre el artículo 4 y el segundo párrafo del artículo 6 que mantenía un tracking error del 5%; así que no se tienen más observaciones.</w:t>
            </w:r>
          </w:p>
          <w:p w14:paraId="211CF329" w14:textId="77777777" w:rsidR="00334C04" w:rsidRDefault="00334C04" w:rsidP="00B53D78">
            <w:pPr>
              <w:jc w:val="both"/>
              <w:rPr>
                <w:iCs/>
                <w:sz w:val="20"/>
                <w:szCs w:val="20"/>
              </w:rPr>
            </w:pPr>
          </w:p>
          <w:p w14:paraId="72C53EEF" w14:textId="77777777" w:rsidR="00334C04" w:rsidRDefault="00334C04" w:rsidP="00334C04">
            <w:pPr>
              <w:pStyle w:val="paragraph"/>
              <w:spacing w:before="0" w:beforeAutospacing="0" w:after="0" w:afterAutospacing="0"/>
              <w:jc w:val="both"/>
              <w:textAlignment w:val="baseline"/>
              <w:rPr>
                <w:rStyle w:val="eop"/>
                <w:color w:val="4471C4"/>
                <w:sz w:val="20"/>
                <w:szCs w:val="20"/>
              </w:rPr>
            </w:pPr>
            <w:r>
              <w:rPr>
                <w:rStyle w:val="normaltextrun"/>
                <w:color w:val="4471C4"/>
                <w:sz w:val="20"/>
                <w:szCs w:val="20"/>
              </w:rPr>
              <w:t>Respuesta: </w:t>
            </w:r>
            <w:r>
              <w:rPr>
                <w:rStyle w:val="eop"/>
                <w:color w:val="4471C4"/>
                <w:sz w:val="20"/>
                <w:szCs w:val="20"/>
              </w:rPr>
              <w:t> </w:t>
            </w:r>
          </w:p>
          <w:p w14:paraId="6B2833CA" w14:textId="3225DD0F" w:rsidR="0049421C" w:rsidRDefault="0049421C" w:rsidP="00334C04">
            <w:pPr>
              <w:pStyle w:val="paragraph"/>
              <w:spacing w:before="0" w:beforeAutospacing="0" w:after="0" w:afterAutospacing="0"/>
              <w:jc w:val="both"/>
              <w:textAlignment w:val="baseline"/>
              <w:rPr>
                <w:rStyle w:val="eop"/>
                <w:color w:val="4471C4"/>
                <w:sz w:val="20"/>
                <w:szCs w:val="20"/>
              </w:rPr>
            </w:pPr>
            <w:r>
              <w:rPr>
                <w:rStyle w:val="eop"/>
                <w:color w:val="4471C4"/>
                <w:sz w:val="20"/>
                <w:szCs w:val="20"/>
              </w:rPr>
              <w:t>No se acepta</w:t>
            </w:r>
            <w:r w:rsidR="002771F6">
              <w:rPr>
                <w:rStyle w:val="eop"/>
                <w:color w:val="4471C4"/>
                <w:sz w:val="20"/>
                <w:szCs w:val="20"/>
              </w:rPr>
              <w:t xml:space="preserve">. </w:t>
            </w:r>
            <w:r>
              <w:rPr>
                <w:rStyle w:val="eop"/>
                <w:color w:val="4471C4"/>
                <w:sz w:val="20"/>
                <w:szCs w:val="20"/>
              </w:rPr>
              <w:t>Cálculos realizados por Supen</w:t>
            </w:r>
            <w:r w:rsidR="007A5403">
              <w:rPr>
                <w:rStyle w:val="eop"/>
                <w:color w:val="4471C4"/>
                <w:sz w:val="20"/>
                <w:szCs w:val="20"/>
              </w:rPr>
              <w:t>, con apoyo de la información provista por el sector,</w:t>
            </w:r>
            <w:r>
              <w:rPr>
                <w:rStyle w:val="eop"/>
                <w:color w:val="4471C4"/>
                <w:sz w:val="20"/>
                <w:szCs w:val="20"/>
              </w:rPr>
              <w:t xml:space="preserve"> sugieren la posibilidad de realizar ajustes</w:t>
            </w:r>
            <w:r w:rsidR="006A3013">
              <w:rPr>
                <w:rStyle w:val="eop"/>
                <w:color w:val="4471C4"/>
                <w:sz w:val="20"/>
                <w:szCs w:val="20"/>
              </w:rPr>
              <w:t xml:space="preserve"> a la trayectoria</w:t>
            </w:r>
            <w:r w:rsidR="00FE6DC3">
              <w:rPr>
                <w:rStyle w:val="eop"/>
                <w:color w:val="4471C4"/>
                <w:sz w:val="20"/>
                <w:szCs w:val="20"/>
              </w:rPr>
              <w:t>, que, dependiendo de diferentes supuestos (</w:t>
            </w:r>
            <w:r w:rsidR="0087268C">
              <w:rPr>
                <w:rStyle w:val="eop"/>
                <w:color w:val="4471C4"/>
                <w:sz w:val="20"/>
                <w:szCs w:val="20"/>
              </w:rPr>
              <w:t>vencimientos, flujo de caja neto, disponibilidades, entre otros)</w:t>
            </w:r>
            <w:r w:rsidR="006A3013">
              <w:rPr>
                <w:rStyle w:val="eop"/>
                <w:color w:val="4471C4"/>
                <w:sz w:val="20"/>
                <w:szCs w:val="20"/>
              </w:rPr>
              <w:t xml:space="preserve">, pueden ser </w:t>
            </w:r>
            <w:r w:rsidR="00EF6104">
              <w:rPr>
                <w:rStyle w:val="eop"/>
                <w:color w:val="4471C4"/>
                <w:sz w:val="20"/>
                <w:szCs w:val="20"/>
              </w:rPr>
              <w:t xml:space="preserve">en plazos inferiores a los </w:t>
            </w:r>
            <w:r w:rsidR="00F84148">
              <w:rPr>
                <w:rStyle w:val="eop"/>
                <w:color w:val="4471C4"/>
                <w:sz w:val="20"/>
                <w:szCs w:val="20"/>
              </w:rPr>
              <w:t>12</w:t>
            </w:r>
            <w:r>
              <w:rPr>
                <w:rStyle w:val="eop"/>
                <w:color w:val="4471C4"/>
                <w:sz w:val="20"/>
                <w:szCs w:val="20"/>
              </w:rPr>
              <w:t xml:space="preserve"> meses. Esto</w:t>
            </w:r>
            <w:r w:rsidR="002771F6">
              <w:rPr>
                <w:rStyle w:val="eop"/>
                <w:color w:val="4471C4"/>
                <w:sz w:val="20"/>
                <w:szCs w:val="20"/>
              </w:rPr>
              <w:t>,</w:t>
            </w:r>
            <w:r>
              <w:rPr>
                <w:rStyle w:val="eop"/>
                <w:color w:val="4471C4"/>
                <w:sz w:val="20"/>
                <w:szCs w:val="20"/>
              </w:rPr>
              <w:t xml:space="preserve"> sin contar con el periodo de preparación de 15 meses otorgado en la reglamentación para el inicio en operación de los fondos generacionales, lo que da </w:t>
            </w:r>
            <w:r w:rsidR="002771F6">
              <w:rPr>
                <w:rStyle w:val="eop"/>
                <w:color w:val="4471C4"/>
                <w:sz w:val="20"/>
                <w:szCs w:val="20"/>
              </w:rPr>
              <w:t xml:space="preserve">finalmente </w:t>
            </w:r>
            <w:r>
              <w:rPr>
                <w:rStyle w:val="eop"/>
                <w:color w:val="4471C4"/>
                <w:sz w:val="20"/>
                <w:szCs w:val="20"/>
              </w:rPr>
              <w:t>33 meses en total</w:t>
            </w:r>
            <w:r w:rsidR="002771F6">
              <w:rPr>
                <w:rStyle w:val="eop"/>
                <w:color w:val="4471C4"/>
                <w:sz w:val="20"/>
                <w:szCs w:val="20"/>
              </w:rPr>
              <w:t>, resultado cercano a los tres años mencionados.</w:t>
            </w:r>
          </w:p>
          <w:p w14:paraId="7D0840DB" w14:textId="77777777" w:rsidR="002771F6" w:rsidRDefault="002771F6" w:rsidP="00334C04">
            <w:pPr>
              <w:pStyle w:val="paragraph"/>
              <w:spacing w:before="0" w:beforeAutospacing="0" w:after="0" w:afterAutospacing="0"/>
              <w:jc w:val="both"/>
              <w:textAlignment w:val="baseline"/>
              <w:rPr>
                <w:rFonts w:ascii="Segoe UI" w:hAnsi="Segoe UI" w:cs="Segoe UI"/>
                <w:sz w:val="18"/>
                <w:szCs w:val="18"/>
              </w:rPr>
            </w:pPr>
          </w:p>
          <w:p w14:paraId="6BE2B1A0" w14:textId="476C0728" w:rsidR="00334C04" w:rsidRPr="00334C04" w:rsidRDefault="00932D19" w:rsidP="00334C04">
            <w:pPr>
              <w:pStyle w:val="paragraph"/>
              <w:spacing w:before="0" w:beforeAutospacing="0" w:after="0" w:afterAutospacing="0"/>
              <w:jc w:val="both"/>
              <w:textAlignment w:val="baseline"/>
              <w:rPr>
                <w:rFonts w:ascii="Segoe UI" w:hAnsi="Segoe UI" w:cs="Segoe UI"/>
                <w:sz w:val="18"/>
                <w:szCs w:val="18"/>
              </w:rPr>
            </w:pPr>
            <w:r>
              <w:rPr>
                <w:rStyle w:val="normaltextrun"/>
                <w:color w:val="4471C4"/>
                <w:sz w:val="20"/>
                <w:szCs w:val="20"/>
              </w:rPr>
              <w:t xml:space="preserve">Con respecto al segundo párrafo, </w:t>
            </w:r>
            <w:r w:rsidR="00422A39">
              <w:rPr>
                <w:rStyle w:val="normaltextrun"/>
                <w:color w:val="4471C4"/>
                <w:sz w:val="20"/>
                <w:szCs w:val="20"/>
              </w:rPr>
              <w:t xml:space="preserve">se </w:t>
            </w:r>
            <w:r w:rsidR="00334C04">
              <w:rPr>
                <w:rStyle w:val="normaltextrun"/>
                <w:color w:val="4471C4"/>
                <w:sz w:val="20"/>
                <w:szCs w:val="20"/>
              </w:rPr>
              <w:t>acepta</w:t>
            </w:r>
            <w:r>
              <w:rPr>
                <w:rStyle w:val="normaltextrun"/>
                <w:color w:val="4471C4"/>
                <w:sz w:val="20"/>
                <w:szCs w:val="20"/>
              </w:rPr>
              <w:t xml:space="preserve"> la recomendación</w:t>
            </w:r>
            <w:r w:rsidR="00E57301">
              <w:rPr>
                <w:rStyle w:val="normaltextrun"/>
                <w:color w:val="4471C4"/>
                <w:sz w:val="20"/>
                <w:szCs w:val="20"/>
              </w:rPr>
              <w:t xml:space="preserve"> y </w:t>
            </w:r>
            <w:r w:rsidR="00334C04">
              <w:rPr>
                <w:rStyle w:val="normaltextrun"/>
                <w:color w:val="4471C4"/>
                <w:sz w:val="20"/>
                <w:szCs w:val="20"/>
              </w:rPr>
              <w:t>se atiende con la modificación del artículo 6.</w:t>
            </w:r>
            <w:r w:rsidR="00334C04">
              <w:rPr>
                <w:rStyle w:val="eop"/>
                <w:color w:val="4471C4"/>
                <w:sz w:val="20"/>
                <w:szCs w:val="20"/>
              </w:rPr>
              <w:t> </w:t>
            </w:r>
          </w:p>
          <w:p w14:paraId="032B881E" w14:textId="77777777" w:rsidR="00672BBC" w:rsidRDefault="00672BBC" w:rsidP="00B53D78">
            <w:pPr>
              <w:jc w:val="both"/>
              <w:rPr>
                <w:b/>
                <w:iCs/>
                <w:sz w:val="20"/>
                <w:szCs w:val="20"/>
              </w:rPr>
            </w:pPr>
          </w:p>
          <w:p w14:paraId="37402DAB" w14:textId="3EB17302" w:rsidR="00417455" w:rsidRPr="00417455" w:rsidRDefault="00C33A3F" w:rsidP="00417455">
            <w:pPr>
              <w:jc w:val="both"/>
              <w:rPr>
                <w:i/>
                <w:iCs/>
                <w:sz w:val="20"/>
                <w:szCs w:val="20"/>
              </w:rPr>
            </w:pPr>
            <w:r>
              <w:rPr>
                <w:b/>
                <w:bCs/>
                <w:sz w:val="20"/>
                <w:szCs w:val="20"/>
              </w:rPr>
              <w:lastRenderedPageBreak/>
              <w:t xml:space="preserve">OPC </w:t>
            </w:r>
            <w:r w:rsidRPr="002D2C6B">
              <w:rPr>
                <w:b/>
                <w:bCs/>
                <w:sz w:val="20"/>
                <w:szCs w:val="20"/>
              </w:rPr>
              <w:t>CCSS</w:t>
            </w:r>
            <w:r>
              <w:rPr>
                <w:b/>
                <w:bCs/>
                <w:sz w:val="20"/>
                <w:szCs w:val="20"/>
              </w:rPr>
              <w:t xml:space="preserve"> (</w:t>
            </w:r>
            <w:r w:rsidRPr="009D34F7">
              <w:rPr>
                <w:sz w:val="23"/>
                <w:szCs w:val="23"/>
              </w:rPr>
              <w:t>GG-287-2024</w:t>
            </w:r>
            <w:r>
              <w:rPr>
                <w:sz w:val="23"/>
                <w:szCs w:val="23"/>
              </w:rPr>
              <w:t>)</w:t>
            </w:r>
            <w:r w:rsidR="00672BBC" w:rsidRPr="006B1EC4">
              <w:rPr>
                <w:bCs/>
                <w:iCs/>
                <w:sz w:val="20"/>
                <w:szCs w:val="20"/>
              </w:rPr>
              <w:t xml:space="preserve">: </w:t>
            </w:r>
            <w:r w:rsidR="006B1EC4" w:rsidRPr="006B1EC4">
              <w:rPr>
                <w:bCs/>
                <w:iCs/>
                <w:sz w:val="20"/>
                <w:szCs w:val="20"/>
              </w:rPr>
              <w:t>a</w:t>
            </w:r>
            <w:r w:rsidR="006B1EC4">
              <w:rPr>
                <w:bCs/>
                <w:iCs/>
                <w:sz w:val="20"/>
                <w:szCs w:val="20"/>
              </w:rPr>
              <w:t xml:space="preserve">) </w:t>
            </w:r>
            <w:r w:rsidR="006B1EC4" w:rsidRPr="006B1EC4">
              <w:rPr>
                <w:bCs/>
                <w:iCs/>
                <w:sz w:val="20"/>
                <w:szCs w:val="20"/>
              </w:rPr>
              <w:t>Mantener el nombre del artículo, según el SP-A-267-2024, el cual se denomina “Rebalanceo del portafolio”</w:t>
            </w:r>
            <w:r w:rsidR="006B1EC4">
              <w:rPr>
                <w:bCs/>
                <w:iCs/>
                <w:sz w:val="20"/>
                <w:szCs w:val="20"/>
              </w:rPr>
              <w:t xml:space="preserve">; b) </w:t>
            </w:r>
            <w:r w:rsidR="006B1EC4" w:rsidRPr="006B1EC4">
              <w:rPr>
                <w:bCs/>
                <w:iCs/>
                <w:sz w:val="20"/>
                <w:szCs w:val="20"/>
              </w:rPr>
              <w:t>Aplicar a este artículo la actualización de la definición de error de seguimiento</w:t>
            </w:r>
            <w:r w:rsidR="006B1EC4">
              <w:rPr>
                <w:bCs/>
                <w:iCs/>
                <w:sz w:val="20"/>
                <w:szCs w:val="20"/>
              </w:rPr>
              <w:t xml:space="preserve">; c) </w:t>
            </w:r>
            <w:r w:rsidR="006B1EC4" w:rsidRPr="006B1EC4">
              <w:rPr>
                <w:bCs/>
                <w:iCs/>
                <w:sz w:val="20"/>
                <w:szCs w:val="20"/>
              </w:rPr>
              <w:t>Incluir la posibilidad de contar con un Plan de Atención cuando se presenten desvíos en la trayectoria de inversión</w:t>
            </w:r>
            <w:r w:rsidR="006B1EC4">
              <w:rPr>
                <w:bCs/>
                <w:iCs/>
                <w:sz w:val="20"/>
                <w:szCs w:val="20"/>
              </w:rPr>
              <w:t xml:space="preserve">; d) </w:t>
            </w:r>
            <w:r w:rsidR="006B1EC4">
              <w:rPr>
                <w:sz w:val="20"/>
                <w:szCs w:val="20"/>
              </w:rPr>
              <w:t>Sugiere la siguiente redacción para el texto:</w:t>
            </w:r>
            <w:r w:rsidR="00417455">
              <w:rPr>
                <w:sz w:val="20"/>
                <w:szCs w:val="20"/>
              </w:rPr>
              <w:t xml:space="preserve"> </w:t>
            </w:r>
            <w:r w:rsidR="00417455" w:rsidRPr="00417455">
              <w:rPr>
                <w:i/>
                <w:iCs/>
                <w:sz w:val="20"/>
                <w:szCs w:val="20"/>
              </w:rPr>
              <w:t xml:space="preserve">“Artículo 6. Rebalanceo del portafolio La trayectoria de inversión podrá ser modificada por el Órgano de Dirección por razones técnicas debidamente justificadas, previo análisis y discusión por parte del Comité de Riesgo y de Inversiones. Igual procedimiento deberá </w:t>
            </w:r>
            <w:r w:rsidR="00417455" w:rsidRPr="00AE6DC6">
              <w:rPr>
                <w:b/>
                <w:bCs/>
                <w:i/>
                <w:iCs/>
                <w:sz w:val="20"/>
                <w:szCs w:val="20"/>
              </w:rPr>
              <w:t>seguirse en caso de que la operadora</w:t>
            </w:r>
            <w:r w:rsidR="00417455" w:rsidRPr="00417455">
              <w:rPr>
                <w:i/>
                <w:iCs/>
                <w:sz w:val="20"/>
                <w:szCs w:val="20"/>
              </w:rPr>
              <w:t xml:space="preserve"> decida no realizar ajustes a la trayectoria de inversiones de un fondo.</w:t>
            </w:r>
          </w:p>
          <w:p w14:paraId="0267E86F" w14:textId="77777777" w:rsidR="00417455" w:rsidRPr="00AE6DC6" w:rsidRDefault="00417455" w:rsidP="00417455">
            <w:pPr>
              <w:jc w:val="both"/>
              <w:rPr>
                <w:b/>
                <w:bCs/>
                <w:i/>
                <w:iCs/>
                <w:sz w:val="20"/>
                <w:szCs w:val="20"/>
              </w:rPr>
            </w:pPr>
            <w:r w:rsidRPr="00AE6DC6">
              <w:rPr>
                <w:b/>
                <w:bCs/>
                <w:i/>
                <w:iCs/>
                <w:sz w:val="20"/>
                <w:szCs w:val="20"/>
              </w:rPr>
              <w:t xml:space="preserve">Cuando se presenten desvíos por seis meses consecutivos o cuando el error de seguimiento sea superior a un 5%, las operadoras de pensiones deberán plantear </w:t>
            </w:r>
            <w:r w:rsidRPr="00E75C15">
              <w:rPr>
                <w:b/>
                <w:bCs/>
                <w:i/>
                <w:iCs/>
                <w:sz w:val="20"/>
                <w:szCs w:val="20"/>
              </w:rPr>
              <w:t>un Plan de Atención o una</w:t>
            </w:r>
            <w:r w:rsidRPr="00AE6DC6">
              <w:rPr>
                <w:b/>
                <w:bCs/>
                <w:i/>
                <w:iCs/>
                <w:sz w:val="20"/>
                <w:szCs w:val="20"/>
              </w:rPr>
              <w:t xml:space="preserve"> modificación a la trayectoria de inversión. </w:t>
            </w:r>
          </w:p>
          <w:p w14:paraId="13EC3F21" w14:textId="378FBF73" w:rsidR="00501832" w:rsidRDefault="00417455" w:rsidP="00417455">
            <w:pPr>
              <w:jc w:val="both"/>
              <w:rPr>
                <w:i/>
                <w:iCs/>
                <w:sz w:val="20"/>
                <w:szCs w:val="20"/>
              </w:rPr>
            </w:pPr>
            <w:r w:rsidRPr="00417455">
              <w:rPr>
                <w:i/>
                <w:iCs/>
                <w:sz w:val="20"/>
                <w:szCs w:val="20"/>
              </w:rPr>
              <w:t>La trayectoria de inversión no podrá ser modificada con el propósito de obtener resultados de rentabilidad de corto plazo. Deberá calibrarse en el tiempo para que logre alcanzar el objetivo de rentabilidad y de tasa de reemplazo declarado por cada operadora para cada uno de los fondos generacionales del Régimen Obligatorio de Pensiones Complementarias. De modificarse, la misma deberá ser inmediatamente comunicada a la Superintendencia de Pensiones y a los afiliados, por los medios correspondientes, una vez aprobada por el Órgano de Dirección”.</w:t>
            </w:r>
          </w:p>
          <w:p w14:paraId="2A3E9788" w14:textId="77777777" w:rsidR="00FA5A2B" w:rsidRPr="006B3BCF" w:rsidRDefault="00FA5A2B" w:rsidP="00417455">
            <w:pPr>
              <w:jc w:val="both"/>
              <w:rPr>
                <w:sz w:val="20"/>
                <w:szCs w:val="20"/>
              </w:rPr>
            </w:pPr>
          </w:p>
          <w:p w14:paraId="6E4263CA" w14:textId="4837DA50" w:rsidR="00FA5A2B" w:rsidRDefault="00C33A3F" w:rsidP="00417455">
            <w:pPr>
              <w:jc w:val="both"/>
              <w:rPr>
                <w:sz w:val="20"/>
                <w:szCs w:val="20"/>
              </w:rPr>
            </w:pPr>
            <w:r>
              <w:rPr>
                <w:b/>
                <w:iCs/>
                <w:sz w:val="20"/>
                <w:szCs w:val="20"/>
              </w:rPr>
              <w:t xml:space="preserve">OPC </w:t>
            </w:r>
            <w:r w:rsidR="006B3BCF">
              <w:rPr>
                <w:b/>
                <w:iCs/>
                <w:sz w:val="20"/>
                <w:szCs w:val="20"/>
              </w:rPr>
              <w:t>CCSS</w:t>
            </w:r>
            <w:r w:rsidR="006B3BCF" w:rsidRPr="006B3BCF">
              <w:rPr>
                <w:sz w:val="20"/>
                <w:szCs w:val="20"/>
              </w:rPr>
              <w:t xml:space="preserve"> </w:t>
            </w:r>
            <w:r w:rsidR="006B3BCF">
              <w:rPr>
                <w:sz w:val="20"/>
                <w:szCs w:val="20"/>
              </w:rPr>
              <w:t>(</w:t>
            </w:r>
            <w:r w:rsidR="006B3BCF" w:rsidRPr="00B92F5D">
              <w:rPr>
                <w:sz w:val="23"/>
                <w:szCs w:val="23"/>
              </w:rPr>
              <w:t>GG-304-2024</w:t>
            </w:r>
            <w:r w:rsidR="006B3BCF">
              <w:rPr>
                <w:sz w:val="23"/>
                <w:szCs w:val="23"/>
              </w:rPr>
              <w:t xml:space="preserve">): </w:t>
            </w:r>
            <w:r w:rsidR="00FA5A2B" w:rsidRPr="006B3BCF">
              <w:rPr>
                <w:sz w:val="20"/>
                <w:szCs w:val="20"/>
              </w:rPr>
              <w:t>no tiene observaciones al SP-1017-2024</w:t>
            </w:r>
            <w:r w:rsidR="002F7D11">
              <w:rPr>
                <w:sz w:val="20"/>
                <w:szCs w:val="20"/>
              </w:rPr>
              <w:t>.</w:t>
            </w:r>
          </w:p>
          <w:p w14:paraId="1C0A6225" w14:textId="77777777" w:rsidR="00C10F48" w:rsidRDefault="00C10F48" w:rsidP="00417455">
            <w:pPr>
              <w:jc w:val="both"/>
              <w:rPr>
                <w:sz w:val="20"/>
                <w:szCs w:val="20"/>
              </w:rPr>
            </w:pPr>
          </w:p>
          <w:p w14:paraId="19BCCAE8" w14:textId="77777777" w:rsidR="00351472" w:rsidRDefault="00351472" w:rsidP="00351472">
            <w:pPr>
              <w:pStyle w:val="paragraph"/>
              <w:spacing w:before="0" w:beforeAutospacing="0" w:after="0" w:afterAutospacing="0"/>
              <w:jc w:val="both"/>
              <w:textAlignment w:val="baseline"/>
              <w:rPr>
                <w:rFonts w:ascii="Segoe UI" w:hAnsi="Segoe UI" w:cs="Segoe UI"/>
                <w:sz w:val="18"/>
                <w:szCs w:val="18"/>
              </w:rPr>
            </w:pPr>
            <w:r>
              <w:rPr>
                <w:rStyle w:val="normaltextrun"/>
                <w:color w:val="4471C4"/>
                <w:sz w:val="20"/>
                <w:szCs w:val="20"/>
              </w:rPr>
              <w:t>Respuesta: </w:t>
            </w:r>
            <w:r>
              <w:rPr>
                <w:rStyle w:val="eop"/>
                <w:color w:val="4471C4"/>
                <w:sz w:val="20"/>
                <w:szCs w:val="20"/>
              </w:rPr>
              <w:t> </w:t>
            </w:r>
          </w:p>
          <w:p w14:paraId="45D597FF" w14:textId="3731720B" w:rsidR="008D202D" w:rsidRDefault="00016BF1" w:rsidP="00E75C15">
            <w:pPr>
              <w:jc w:val="both"/>
              <w:rPr>
                <w:rStyle w:val="normaltextrun"/>
                <w:color w:val="4471C4"/>
                <w:sz w:val="20"/>
                <w:szCs w:val="20"/>
              </w:rPr>
            </w:pPr>
            <w:r>
              <w:rPr>
                <w:rStyle w:val="normaltextrun"/>
                <w:color w:val="4471C4"/>
                <w:sz w:val="20"/>
                <w:szCs w:val="20"/>
              </w:rPr>
              <w:t xml:space="preserve">No se </w:t>
            </w:r>
            <w:r w:rsidR="005C0CE3">
              <w:rPr>
                <w:rStyle w:val="normaltextrun"/>
                <w:color w:val="4471C4"/>
                <w:sz w:val="20"/>
                <w:szCs w:val="20"/>
              </w:rPr>
              <w:t>aceptan</w:t>
            </w:r>
            <w:r w:rsidR="003C47CB">
              <w:rPr>
                <w:rStyle w:val="normaltextrun"/>
                <w:color w:val="4471C4"/>
                <w:sz w:val="20"/>
                <w:szCs w:val="20"/>
              </w:rPr>
              <w:t xml:space="preserve"> las observaciones</w:t>
            </w:r>
            <w:r w:rsidR="008926DD">
              <w:rPr>
                <w:rStyle w:val="normaltextrun"/>
                <w:color w:val="4471C4"/>
                <w:sz w:val="20"/>
                <w:szCs w:val="20"/>
              </w:rPr>
              <w:t>.</w:t>
            </w:r>
            <w:r w:rsidR="001627A4">
              <w:rPr>
                <w:rStyle w:val="normaltextrun"/>
                <w:color w:val="4471C4"/>
                <w:sz w:val="20"/>
                <w:szCs w:val="20"/>
              </w:rPr>
              <w:t xml:space="preserve"> </w:t>
            </w:r>
            <w:r w:rsidR="008926DD">
              <w:rPr>
                <w:rStyle w:val="normaltextrun"/>
                <w:color w:val="4471C4"/>
                <w:sz w:val="20"/>
                <w:szCs w:val="20"/>
              </w:rPr>
              <w:t xml:space="preserve">Incisos </w:t>
            </w:r>
            <w:r w:rsidR="003C47CB">
              <w:rPr>
                <w:rStyle w:val="normaltextrun"/>
                <w:color w:val="4471C4"/>
                <w:sz w:val="20"/>
                <w:szCs w:val="20"/>
              </w:rPr>
              <w:t>a) y</w:t>
            </w:r>
            <w:r w:rsidR="003C77BC">
              <w:rPr>
                <w:rStyle w:val="normaltextrun"/>
                <w:color w:val="4471C4"/>
                <w:sz w:val="20"/>
                <w:szCs w:val="20"/>
              </w:rPr>
              <w:t xml:space="preserve"> </w:t>
            </w:r>
            <w:r w:rsidR="003C47CB">
              <w:rPr>
                <w:rStyle w:val="normaltextrun"/>
                <w:color w:val="4471C4"/>
                <w:sz w:val="20"/>
                <w:szCs w:val="20"/>
              </w:rPr>
              <w:t>b)</w:t>
            </w:r>
            <w:r w:rsidR="008926DD">
              <w:rPr>
                <w:rStyle w:val="normaltextrun"/>
                <w:color w:val="4471C4"/>
                <w:sz w:val="20"/>
                <w:szCs w:val="20"/>
              </w:rPr>
              <w:t>:</w:t>
            </w:r>
            <w:r w:rsidR="0030187C">
              <w:rPr>
                <w:rStyle w:val="normaltextrun"/>
                <w:color w:val="4471C4"/>
                <w:sz w:val="20"/>
                <w:szCs w:val="20"/>
              </w:rPr>
              <w:t xml:space="preserve"> l</w:t>
            </w:r>
            <w:r w:rsidR="008D202D" w:rsidRPr="000655B6">
              <w:rPr>
                <w:rStyle w:val="normaltextrun"/>
                <w:color w:val="4471C4"/>
                <w:sz w:val="20"/>
                <w:szCs w:val="20"/>
              </w:rPr>
              <w:t xml:space="preserve">a reforma planteada </w:t>
            </w:r>
            <w:r w:rsidR="00185527">
              <w:rPr>
                <w:rStyle w:val="normaltextrun"/>
                <w:color w:val="4471C4"/>
                <w:sz w:val="20"/>
                <w:szCs w:val="20"/>
              </w:rPr>
              <w:t xml:space="preserve">trata </w:t>
            </w:r>
            <w:r w:rsidR="00140E82">
              <w:rPr>
                <w:rStyle w:val="normaltextrun"/>
                <w:color w:val="4471C4"/>
                <w:sz w:val="20"/>
                <w:szCs w:val="20"/>
              </w:rPr>
              <w:t xml:space="preserve">los temas </w:t>
            </w:r>
            <w:r w:rsidR="005860F6">
              <w:rPr>
                <w:rStyle w:val="normaltextrun"/>
                <w:color w:val="4471C4"/>
                <w:sz w:val="20"/>
                <w:szCs w:val="20"/>
              </w:rPr>
              <w:t>mencionados</w:t>
            </w:r>
            <w:r w:rsidR="00185527">
              <w:rPr>
                <w:rStyle w:val="normaltextrun"/>
                <w:color w:val="4471C4"/>
                <w:sz w:val="20"/>
                <w:szCs w:val="20"/>
              </w:rPr>
              <w:t xml:space="preserve"> con la </w:t>
            </w:r>
            <w:r w:rsidR="0030187C">
              <w:rPr>
                <w:rStyle w:val="normaltextrun"/>
                <w:color w:val="4471C4"/>
                <w:sz w:val="20"/>
                <w:szCs w:val="20"/>
              </w:rPr>
              <w:t>introduc</w:t>
            </w:r>
            <w:r w:rsidR="00185527">
              <w:rPr>
                <w:rStyle w:val="normaltextrun"/>
                <w:color w:val="4471C4"/>
                <w:sz w:val="20"/>
                <w:szCs w:val="20"/>
              </w:rPr>
              <w:t>ción de</w:t>
            </w:r>
            <w:r w:rsidR="008D202D" w:rsidRPr="000655B6">
              <w:rPr>
                <w:rStyle w:val="normaltextrun"/>
                <w:color w:val="4471C4"/>
                <w:sz w:val="20"/>
                <w:szCs w:val="20"/>
              </w:rPr>
              <w:t xml:space="preserve"> desvíos sobre la trayectoria</w:t>
            </w:r>
            <w:r w:rsidR="00140E82">
              <w:rPr>
                <w:rStyle w:val="normaltextrun"/>
                <w:color w:val="4471C4"/>
                <w:sz w:val="20"/>
                <w:szCs w:val="20"/>
              </w:rPr>
              <w:t>, sin ser necesario un cambio en</w:t>
            </w:r>
            <w:r w:rsidR="007E7B1A">
              <w:rPr>
                <w:rStyle w:val="normaltextrun"/>
                <w:color w:val="4471C4"/>
                <w:sz w:val="20"/>
                <w:szCs w:val="20"/>
              </w:rPr>
              <w:t xml:space="preserve"> el nombre de artículos o textos adicionales.</w:t>
            </w:r>
          </w:p>
          <w:p w14:paraId="14FA13E3" w14:textId="29F08A5E" w:rsidR="00E75C15" w:rsidRPr="001627A4" w:rsidRDefault="008926DD" w:rsidP="00E75C15">
            <w:pPr>
              <w:jc w:val="both"/>
              <w:rPr>
                <w:color w:val="4471C4"/>
                <w:sz w:val="20"/>
                <w:szCs w:val="20"/>
              </w:rPr>
            </w:pPr>
            <w:r>
              <w:rPr>
                <w:rStyle w:val="normaltextrun"/>
                <w:color w:val="4471C4"/>
                <w:sz w:val="20"/>
                <w:szCs w:val="20"/>
              </w:rPr>
              <w:t>Incisos</w:t>
            </w:r>
            <w:r w:rsidR="001627A4">
              <w:rPr>
                <w:rStyle w:val="normaltextrun"/>
                <w:color w:val="4471C4"/>
                <w:sz w:val="20"/>
                <w:szCs w:val="20"/>
              </w:rPr>
              <w:t xml:space="preserve"> </w:t>
            </w:r>
            <w:r w:rsidR="003C47CB">
              <w:rPr>
                <w:rStyle w:val="normaltextrun"/>
                <w:color w:val="4471C4"/>
                <w:sz w:val="20"/>
                <w:szCs w:val="20"/>
              </w:rPr>
              <w:t>c)</w:t>
            </w:r>
            <w:r w:rsidR="003C77BC">
              <w:rPr>
                <w:rStyle w:val="normaltextrun"/>
                <w:color w:val="4471C4"/>
                <w:sz w:val="20"/>
                <w:szCs w:val="20"/>
              </w:rPr>
              <w:t xml:space="preserve"> y d)</w:t>
            </w:r>
            <w:r w:rsidR="001627A4">
              <w:rPr>
                <w:rStyle w:val="normaltextrun"/>
                <w:color w:val="4471C4"/>
                <w:sz w:val="20"/>
                <w:szCs w:val="20"/>
              </w:rPr>
              <w:t>:</w:t>
            </w:r>
            <w:r w:rsidR="003C47CB">
              <w:rPr>
                <w:rStyle w:val="normaltextrun"/>
                <w:color w:val="4471C4"/>
                <w:sz w:val="20"/>
                <w:szCs w:val="20"/>
              </w:rPr>
              <w:t xml:space="preserve"> </w:t>
            </w:r>
            <w:r w:rsidR="0070353B">
              <w:rPr>
                <w:rStyle w:val="normaltextrun"/>
                <w:color w:val="4471C4"/>
                <w:sz w:val="20"/>
                <w:szCs w:val="20"/>
              </w:rPr>
              <w:t xml:space="preserve">esta </w:t>
            </w:r>
            <w:r w:rsidR="003C47CB">
              <w:rPr>
                <w:rStyle w:val="normaltextrun"/>
                <w:color w:val="4471C4"/>
                <w:sz w:val="20"/>
                <w:szCs w:val="20"/>
              </w:rPr>
              <w:t xml:space="preserve">observación </w:t>
            </w:r>
            <w:r w:rsidR="0070353B">
              <w:rPr>
                <w:rStyle w:val="normaltextrun"/>
                <w:color w:val="4471C4"/>
                <w:sz w:val="20"/>
                <w:szCs w:val="20"/>
              </w:rPr>
              <w:t xml:space="preserve">se aborda </w:t>
            </w:r>
            <w:r w:rsidR="003C47CB">
              <w:rPr>
                <w:rStyle w:val="normaltextrun"/>
                <w:color w:val="4471C4"/>
                <w:sz w:val="20"/>
                <w:szCs w:val="20"/>
              </w:rPr>
              <w:t xml:space="preserve">con la modificación del artículo </w:t>
            </w:r>
            <w:r w:rsidR="003C77BC">
              <w:rPr>
                <w:rStyle w:val="normaltextrun"/>
                <w:color w:val="4471C4"/>
                <w:sz w:val="20"/>
                <w:szCs w:val="20"/>
              </w:rPr>
              <w:t>6</w:t>
            </w:r>
            <w:r w:rsidR="003C47CB">
              <w:rPr>
                <w:rStyle w:val="normaltextrun"/>
                <w:color w:val="4471C4"/>
                <w:sz w:val="20"/>
                <w:szCs w:val="20"/>
              </w:rPr>
              <w:t>.</w:t>
            </w:r>
          </w:p>
          <w:p w14:paraId="4FB29B96" w14:textId="77777777" w:rsidR="00351472" w:rsidRDefault="00351472" w:rsidP="00417455">
            <w:pPr>
              <w:jc w:val="both"/>
              <w:rPr>
                <w:sz w:val="20"/>
                <w:szCs w:val="20"/>
              </w:rPr>
            </w:pPr>
          </w:p>
          <w:p w14:paraId="19A48C36" w14:textId="05F5F800" w:rsidR="00501832" w:rsidRPr="00501832" w:rsidRDefault="00501832" w:rsidP="00501832">
            <w:pPr>
              <w:jc w:val="both"/>
              <w:rPr>
                <w:i/>
                <w:iCs/>
                <w:sz w:val="20"/>
                <w:szCs w:val="20"/>
              </w:rPr>
            </w:pPr>
            <w:r w:rsidRPr="00E141C5">
              <w:rPr>
                <w:b/>
                <w:bCs/>
                <w:sz w:val="20"/>
                <w:szCs w:val="20"/>
              </w:rPr>
              <w:lastRenderedPageBreak/>
              <w:t>ACOP</w:t>
            </w:r>
            <w:r w:rsidR="002F7D11">
              <w:rPr>
                <w:b/>
                <w:bCs/>
                <w:sz w:val="20"/>
                <w:szCs w:val="20"/>
              </w:rPr>
              <w:t>(</w:t>
            </w:r>
            <w:r w:rsidR="002F7D11" w:rsidRPr="00855265">
              <w:rPr>
                <w:sz w:val="23"/>
                <w:szCs w:val="23"/>
              </w:rPr>
              <w:t>ACOP-037-2024</w:t>
            </w:r>
            <w:r w:rsidR="002F7D11">
              <w:rPr>
                <w:sz w:val="23"/>
                <w:szCs w:val="23"/>
              </w:rPr>
              <w:t>)</w:t>
            </w:r>
            <w:r>
              <w:rPr>
                <w:sz w:val="20"/>
                <w:szCs w:val="20"/>
              </w:rPr>
              <w:t xml:space="preserve">: Sugiere la siguiente redacción para el texto: </w:t>
            </w:r>
            <w:r w:rsidRPr="00501832">
              <w:rPr>
                <w:i/>
                <w:iCs/>
                <w:sz w:val="20"/>
                <w:szCs w:val="20"/>
              </w:rPr>
              <w:t>“Artículo 6. Modificación de la trayectoria o rebalanceo de portafolio. La trayectoria de inversión podrá ser modificada por el Órgano de Dirección por razones técnicas debidamente justificadas, previo análisis y discusión por parte del Comité de Riesgo y de Inversiones. Igual procedimiento deberá seguirse en caso de que la operadora decida no realizar ajustes a la trayectoria de inversiones de un fondo.</w:t>
            </w:r>
          </w:p>
          <w:p w14:paraId="58A3B3D4" w14:textId="77777777" w:rsidR="00501832" w:rsidRPr="00501832" w:rsidRDefault="00501832" w:rsidP="00501832">
            <w:pPr>
              <w:jc w:val="both"/>
              <w:rPr>
                <w:i/>
                <w:iCs/>
                <w:sz w:val="20"/>
                <w:szCs w:val="20"/>
              </w:rPr>
            </w:pPr>
            <w:r w:rsidRPr="00501832">
              <w:rPr>
                <w:i/>
                <w:iCs/>
                <w:sz w:val="20"/>
                <w:szCs w:val="20"/>
              </w:rPr>
              <w:t xml:space="preserve">Cuando se presenten desvíos por seis meses consecutivos o cuando el </w:t>
            </w:r>
            <w:r w:rsidRPr="00DF7E4A">
              <w:rPr>
                <w:b/>
                <w:bCs/>
                <w:i/>
                <w:iCs/>
                <w:sz w:val="20"/>
                <w:szCs w:val="20"/>
              </w:rPr>
              <w:t>desvió de</w:t>
            </w:r>
            <w:r w:rsidRPr="00501832">
              <w:rPr>
                <w:i/>
                <w:iCs/>
                <w:sz w:val="20"/>
                <w:szCs w:val="20"/>
              </w:rPr>
              <w:t xml:space="preserve"> la trayectoria de inversión sea superior a un 5%, las Operadoras de pensiones deberán plantear una modificación a la trayectoria de inversión.</w:t>
            </w:r>
          </w:p>
          <w:p w14:paraId="21FA0CE4" w14:textId="1B36BF68" w:rsidR="00501832" w:rsidRDefault="00501832" w:rsidP="00501832">
            <w:pPr>
              <w:jc w:val="both"/>
              <w:rPr>
                <w:i/>
                <w:iCs/>
                <w:sz w:val="20"/>
                <w:szCs w:val="20"/>
              </w:rPr>
            </w:pPr>
            <w:r w:rsidRPr="00501832">
              <w:rPr>
                <w:i/>
                <w:iCs/>
                <w:sz w:val="20"/>
                <w:szCs w:val="20"/>
              </w:rPr>
              <w:t xml:space="preserve">La trayectoria de inversión no podrá ser modificada con el propósito de obtener resultados de rentabilidad de corto plazo. Deberá calibrarse en el tiempo para que logre alcanzar el objetivo </w:t>
            </w:r>
            <w:r w:rsidRPr="00DF7E4A">
              <w:rPr>
                <w:b/>
                <w:bCs/>
                <w:i/>
                <w:iCs/>
                <w:sz w:val="20"/>
                <w:szCs w:val="20"/>
              </w:rPr>
              <w:t>composición del portafolio declarado</w:t>
            </w:r>
            <w:r w:rsidRPr="00501832">
              <w:rPr>
                <w:i/>
                <w:iCs/>
                <w:sz w:val="20"/>
                <w:szCs w:val="20"/>
              </w:rPr>
              <w:t xml:space="preserve"> por cada Operadora para cada uno de los fondos generacionales del Régimen Obligatorio de Pensiones Complementarias. De modificarse, la misma deberá ser inmediatamente comunicada a la Superintendencia de Pensiones y a los afiliados, por los medios correspondientes, una vez aprobada por el Órgano de Dirección.”</w:t>
            </w:r>
          </w:p>
          <w:p w14:paraId="1E1D8F23" w14:textId="77777777" w:rsidR="00291848" w:rsidRDefault="00291848" w:rsidP="00501832">
            <w:pPr>
              <w:jc w:val="both"/>
              <w:rPr>
                <w:i/>
                <w:iCs/>
                <w:sz w:val="20"/>
                <w:szCs w:val="20"/>
              </w:rPr>
            </w:pPr>
          </w:p>
          <w:p w14:paraId="2AA59B23" w14:textId="77777777" w:rsidR="006B1EC4" w:rsidRDefault="00291848" w:rsidP="005C0CE3">
            <w:pPr>
              <w:pStyle w:val="paragraph"/>
              <w:spacing w:before="0" w:beforeAutospacing="0" w:after="0" w:afterAutospacing="0"/>
              <w:jc w:val="both"/>
              <w:textAlignment w:val="baseline"/>
              <w:rPr>
                <w:rStyle w:val="eop"/>
                <w:color w:val="4471C4"/>
                <w:sz w:val="20"/>
                <w:szCs w:val="20"/>
              </w:rPr>
            </w:pPr>
            <w:r>
              <w:rPr>
                <w:rStyle w:val="normaltextrun"/>
                <w:color w:val="4471C4"/>
                <w:sz w:val="20"/>
                <w:szCs w:val="20"/>
              </w:rPr>
              <w:t>Respuesta:</w:t>
            </w:r>
            <w:r>
              <w:rPr>
                <w:rStyle w:val="eop"/>
                <w:color w:val="4471C4"/>
                <w:sz w:val="20"/>
                <w:szCs w:val="20"/>
              </w:rPr>
              <w:t> </w:t>
            </w:r>
            <w:r w:rsidR="00E60F75">
              <w:rPr>
                <w:rStyle w:val="eop"/>
                <w:color w:val="4471C4"/>
                <w:sz w:val="20"/>
                <w:szCs w:val="20"/>
              </w:rPr>
              <w:t>Ver atención de comentario anterior.</w:t>
            </w:r>
          </w:p>
          <w:p w14:paraId="4C424731" w14:textId="0D1968FE" w:rsidR="00E67B87" w:rsidRPr="00E67B87" w:rsidRDefault="00E67B87" w:rsidP="005C0CE3">
            <w:pPr>
              <w:pStyle w:val="paragraph"/>
              <w:spacing w:before="0" w:beforeAutospacing="0" w:after="0" w:afterAutospacing="0"/>
              <w:jc w:val="both"/>
              <w:textAlignment w:val="baseline"/>
              <w:rPr>
                <w:color w:val="4471C4"/>
                <w:sz w:val="20"/>
                <w:szCs w:val="20"/>
              </w:rPr>
            </w:pPr>
          </w:p>
        </w:tc>
        <w:tc>
          <w:tcPr>
            <w:tcW w:w="1235" w:type="pct"/>
            <w:shd w:val="clear" w:color="auto" w:fill="FFFFFF" w:themeFill="background1"/>
          </w:tcPr>
          <w:p w14:paraId="28E026F3" w14:textId="19AB7ADD" w:rsidR="008E658E" w:rsidRDefault="008E658E" w:rsidP="008E658E">
            <w:pPr>
              <w:pStyle w:val="paragraph"/>
              <w:spacing w:before="0" w:beforeAutospacing="0" w:after="0" w:afterAutospacing="0"/>
              <w:jc w:val="both"/>
              <w:textAlignment w:val="baseline"/>
              <w:rPr>
                <w:rFonts w:ascii="Segoe UI" w:hAnsi="Segoe UI" w:cs="Segoe UI"/>
                <w:sz w:val="18"/>
                <w:szCs w:val="18"/>
              </w:rPr>
            </w:pPr>
            <w:r>
              <w:rPr>
                <w:rStyle w:val="eop"/>
                <w:rFonts w:eastAsia="Arial"/>
                <w:sz w:val="20"/>
                <w:szCs w:val="20"/>
              </w:rPr>
              <w:lastRenderedPageBreak/>
              <w:t> </w:t>
            </w:r>
            <w:r>
              <w:rPr>
                <w:rStyle w:val="normaltextrun"/>
                <w:b/>
                <w:bCs/>
                <w:i/>
                <w:iCs/>
                <w:sz w:val="20"/>
                <w:szCs w:val="20"/>
              </w:rPr>
              <w:t>“Artículo 6. Modificación de la trayectoria </w:t>
            </w:r>
            <w:r>
              <w:rPr>
                <w:rStyle w:val="eop"/>
                <w:rFonts w:eastAsia="Arial"/>
                <w:sz w:val="20"/>
                <w:szCs w:val="20"/>
              </w:rPr>
              <w:t> </w:t>
            </w:r>
          </w:p>
          <w:p w14:paraId="3A430E2F" w14:textId="77777777" w:rsidR="008E658E" w:rsidRDefault="008E658E" w:rsidP="008E658E">
            <w:pPr>
              <w:pStyle w:val="paragraph"/>
              <w:spacing w:before="0" w:beforeAutospacing="0" w:after="0" w:afterAutospacing="0"/>
              <w:jc w:val="both"/>
              <w:textAlignment w:val="baseline"/>
              <w:rPr>
                <w:rFonts w:ascii="Segoe UI" w:hAnsi="Segoe UI" w:cs="Segoe UI"/>
                <w:sz w:val="18"/>
                <w:szCs w:val="18"/>
              </w:rPr>
            </w:pPr>
            <w:r>
              <w:rPr>
                <w:rStyle w:val="eop"/>
                <w:rFonts w:eastAsia="Arial"/>
                <w:sz w:val="20"/>
                <w:szCs w:val="20"/>
              </w:rPr>
              <w:t> </w:t>
            </w:r>
          </w:p>
          <w:p w14:paraId="71DD868E" w14:textId="77777777" w:rsidR="003C47CB" w:rsidRDefault="008E658E" w:rsidP="003C47CB">
            <w:pPr>
              <w:jc w:val="both"/>
              <w:rPr>
                <w:i/>
                <w:iCs/>
                <w:sz w:val="20"/>
                <w:szCs w:val="20"/>
              </w:rPr>
            </w:pPr>
            <w:r>
              <w:rPr>
                <w:rStyle w:val="normaltextrun"/>
                <w:i/>
                <w:iCs/>
                <w:sz w:val="20"/>
                <w:szCs w:val="20"/>
              </w:rPr>
              <w:t xml:space="preserve">La trayectoria de inversión podrá ser modificada por el Órgano de Dirección por razones técnicas debidamente justificadas, previo análisis y discusión por parte del </w:t>
            </w:r>
            <w:r w:rsidR="003C47CB" w:rsidRPr="00A17857">
              <w:rPr>
                <w:i/>
                <w:iCs/>
                <w:sz w:val="20"/>
                <w:szCs w:val="20"/>
              </w:rPr>
              <w:t xml:space="preserve">Comité de Riesgo y de Inversiones. Igual procedimiento deberá observar </w:t>
            </w:r>
            <w:r w:rsidR="003C47CB" w:rsidRPr="00E75C15">
              <w:rPr>
                <w:i/>
                <w:iCs/>
                <w:sz w:val="20"/>
                <w:szCs w:val="20"/>
              </w:rPr>
              <w:t>cuando la operadora decida no realizar ajustes</w:t>
            </w:r>
            <w:r w:rsidR="003C47CB" w:rsidRPr="00A17857">
              <w:rPr>
                <w:i/>
                <w:iCs/>
                <w:sz w:val="20"/>
                <w:szCs w:val="20"/>
              </w:rPr>
              <w:t xml:space="preserve"> a la trayectoria de inversiones de un fondo. </w:t>
            </w:r>
          </w:p>
          <w:p w14:paraId="7AA50201" w14:textId="77777777" w:rsidR="00943860" w:rsidRPr="00A17857" w:rsidRDefault="00943860" w:rsidP="003C47CB">
            <w:pPr>
              <w:jc w:val="both"/>
              <w:rPr>
                <w:i/>
                <w:iCs/>
                <w:sz w:val="20"/>
                <w:szCs w:val="20"/>
              </w:rPr>
            </w:pPr>
          </w:p>
          <w:p w14:paraId="11A5C9D1" w14:textId="77777777" w:rsidR="00E72292" w:rsidRPr="00A17857" w:rsidRDefault="00E72292" w:rsidP="00E72292">
            <w:pPr>
              <w:jc w:val="both"/>
              <w:rPr>
                <w:i/>
                <w:iCs/>
                <w:sz w:val="20"/>
                <w:szCs w:val="20"/>
              </w:rPr>
            </w:pPr>
            <w:r w:rsidRPr="00A17857">
              <w:rPr>
                <w:i/>
                <w:iCs/>
                <w:sz w:val="20"/>
                <w:szCs w:val="20"/>
              </w:rPr>
              <w:t>La trayectoria de inversión no podrá ser modificada con el propósito de obtener resultados de rentabilidad de corto plazo. Deberá calibrarse en el tiempo para lograr alcanzar el objetivo de rentabilidad y de tasa de reemplazo declarado por cada operadora para cada uno de los fondos generacionales del Régimen Obligatorio de Pensiones Complementarias. De modificarse, la misma deberá ser inmediatamente comunicada a la Superintendencia de Pensiones y a los afiliados, por los medios correspondientes, una vez aprobada por el Órgano de Dirección.”</w:t>
            </w:r>
          </w:p>
          <w:p w14:paraId="4936239B" w14:textId="77777777" w:rsidR="008E658E" w:rsidRPr="00534E7B" w:rsidRDefault="008E658E" w:rsidP="008E658E">
            <w:pPr>
              <w:pStyle w:val="paragraph"/>
              <w:spacing w:before="0" w:beforeAutospacing="0" w:after="0" w:afterAutospacing="0"/>
              <w:jc w:val="both"/>
              <w:textAlignment w:val="baseline"/>
              <w:rPr>
                <w:rFonts w:ascii="Segoe UI" w:hAnsi="Segoe UI" w:cs="Segoe UI"/>
                <w:color w:val="000000" w:themeColor="text1"/>
                <w:sz w:val="18"/>
                <w:szCs w:val="18"/>
              </w:rPr>
            </w:pPr>
            <w:r w:rsidRPr="00534E7B">
              <w:rPr>
                <w:rStyle w:val="eop"/>
                <w:rFonts w:eastAsia="Arial"/>
                <w:color w:val="000000" w:themeColor="text1"/>
                <w:sz w:val="20"/>
                <w:szCs w:val="20"/>
              </w:rPr>
              <w:t> </w:t>
            </w:r>
          </w:p>
          <w:p w14:paraId="3D00CB5F" w14:textId="77777777" w:rsidR="008E658E" w:rsidRDefault="008E658E" w:rsidP="008E658E">
            <w:pPr>
              <w:pStyle w:val="paragraph"/>
              <w:spacing w:before="0" w:beforeAutospacing="0" w:after="0" w:afterAutospacing="0"/>
              <w:jc w:val="both"/>
              <w:textAlignment w:val="baseline"/>
              <w:rPr>
                <w:rFonts w:ascii="Segoe UI" w:hAnsi="Segoe UI" w:cs="Segoe UI"/>
                <w:sz w:val="18"/>
                <w:szCs w:val="18"/>
              </w:rPr>
            </w:pPr>
            <w:r>
              <w:rPr>
                <w:rStyle w:val="eop"/>
                <w:rFonts w:eastAsia="Arial"/>
                <w:sz w:val="20"/>
                <w:szCs w:val="20"/>
              </w:rPr>
              <w:t> </w:t>
            </w:r>
          </w:p>
          <w:p w14:paraId="4264152C" w14:textId="6B2D9050" w:rsidR="00CA0DC3" w:rsidRPr="00BD5D64" w:rsidRDefault="00CA0DC3" w:rsidP="0023161E">
            <w:pPr>
              <w:jc w:val="both"/>
              <w:rPr>
                <w:rFonts w:ascii="Arial" w:hAnsi="Arial" w:cs="Arial"/>
                <w:b/>
                <w:i/>
                <w:sz w:val="20"/>
                <w:szCs w:val="20"/>
              </w:rPr>
            </w:pPr>
          </w:p>
        </w:tc>
      </w:tr>
      <w:tr w:rsidR="00827BE0" w:rsidRPr="00BD5D64" w14:paraId="556D28DD" w14:textId="57F606A1" w:rsidTr="5D5FBA91">
        <w:trPr>
          <w:trHeight w:val="410"/>
        </w:trPr>
        <w:tc>
          <w:tcPr>
            <w:tcW w:w="1264" w:type="pct"/>
            <w:shd w:val="clear" w:color="auto" w:fill="FFFFFF" w:themeFill="background1"/>
          </w:tcPr>
          <w:p w14:paraId="45BCFB53" w14:textId="77777777" w:rsidR="00C260E2" w:rsidRPr="00A17857" w:rsidRDefault="00C260E2" w:rsidP="00C260E2">
            <w:pPr>
              <w:jc w:val="both"/>
              <w:rPr>
                <w:b/>
                <w:bCs/>
                <w:sz w:val="20"/>
                <w:szCs w:val="20"/>
              </w:rPr>
            </w:pPr>
            <w:r w:rsidRPr="00A17857">
              <w:rPr>
                <w:b/>
                <w:bCs/>
                <w:sz w:val="20"/>
                <w:szCs w:val="20"/>
              </w:rPr>
              <w:lastRenderedPageBreak/>
              <w:t>Artículo 8. Comunicación al supervisor</w:t>
            </w:r>
          </w:p>
          <w:p w14:paraId="1EFB626E" w14:textId="4C81225E" w:rsidR="00C260E2" w:rsidRPr="00A17857" w:rsidRDefault="00C260E2" w:rsidP="00C260E2">
            <w:pPr>
              <w:jc w:val="both"/>
              <w:rPr>
                <w:sz w:val="20"/>
                <w:szCs w:val="20"/>
              </w:rPr>
            </w:pPr>
            <w:r w:rsidRPr="00A17857">
              <w:rPr>
                <w:sz w:val="20"/>
                <w:szCs w:val="20"/>
              </w:rPr>
              <w:t>(…)</w:t>
            </w:r>
          </w:p>
          <w:p w14:paraId="42A88C15" w14:textId="52EF9C3B" w:rsidR="007576B4" w:rsidRPr="00A17857" w:rsidRDefault="007576B4" w:rsidP="007576B4">
            <w:pPr>
              <w:jc w:val="both"/>
              <w:rPr>
                <w:sz w:val="20"/>
                <w:szCs w:val="20"/>
              </w:rPr>
            </w:pPr>
            <w:proofErr w:type="spellStart"/>
            <w:r w:rsidRPr="00A17857">
              <w:rPr>
                <w:sz w:val="20"/>
                <w:szCs w:val="20"/>
              </w:rPr>
              <w:t>ii</w:t>
            </w:r>
            <w:proofErr w:type="spellEnd"/>
            <w:r w:rsidRPr="00A17857">
              <w:rPr>
                <w:sz w:val="20"/>
                <w:szCs w:val="20"/>
              </w:rPr>
              <w:t>.- La fórmula de cálculo del error de seguimiento en cada periodo y los datos utilizados, de manera que pueda replicarse para efectos de supervisión.</w:t>
            </w:r>
          </w:p>
          <w:p w14:paraId="4CF98B90" w14:textId="56B8F3B3" w:rsidR="0024524B" w:rsidRPr="00A17857" w:rsidRDefault="0024524B" w:rsidP="0024524B">
            <w:pPr>
              <w:jc w:val="both"/>
              <w:rPr>
                <w:sz w:val="20"/>
                <w:szCs w:val="20"/>
              </w:rPr>
            </w:pPr>
            <w:proofErr w:type="spellStart"/>
            <w:r w:rsidRPr="00A17857">
              <w:rPr>
                <w:sz w:val="20"/>
                <w:szCs w:val="20"/>
              </w:rPr>
              <w:t>iii</w:t>
            </w:r>
            <w:proofErr w:type="spellEnd"/>
            <w:r w:rsidRPr="00A17857">
              <w:rPr>
                <w:sz w:val="20"/>
                <w:szCs w:val="20"/>
              </w:rPr>
              <w:t xml:space="preserve">.- El desvío real y el umbral de tolerancia que defina el órgano de dirección. </w:t>
            </w:r>
          </w:p>
          <w:p w14:paraId="7E778065" w14:textId="77777777" w:rsidR="00F361FC" w:rsidRPr="00A17857" w:rsidRDefault="00F361FC" w:rsidP="007576B4">
            <w:pPr>
              <w:jc w:val="both"/>
              <w:rPr>
                <w:sz w:val="20"/>
                <w:szCs w:val="20"/>
              </w:rPr>
            </w:pPr>
          </w:p>
          <w:p w14:paraId="70E6D7CD" w14:textId="3A46294E" w:rsidR="007576B4" w:rsidRPr="00A17857" w:rsidRDefault="007576B4" w:rsidP="007576B4">
            <w:pPr>
              <w:jc w:val="both"/>
              <w:rPr>
                <w:sz w:val="20"/>
                <w:szCs w:val="20"/>
              </w:rPr>
            </w:pPr>
            <w:r w:rsidRPr="00A17857">
              <w:rPr>
                <w:sz w:val="20"/>
                <w:szCs w:val="20"/>
              </w:rPr>
              <w:t>(…)</w:t>
            </w:r>
          </w:p>
          <w:p w14:paraId="4F1801C1" w14:textId="0A8F9ADA" w:rsidR="00827BE0" w:rsidRPr="00A17857" w:rsidRDefault="00827BE0" w:rsidP="00C260E2">
            <w:pPr>
              <w:spacing w:line="276" w:lineRule="auto"/>
              <w:jc w:val="both"/>
              <w:rPr>
                <w:b/>
                <w:bCs/>
                <w:sz w:val="20"/>
                <w:szCs w:val="20"/>
              </w:rPr>
            </w:pPr>
          </w:p>
        </w:tc>
        <w:tc>
          <w:tcPr>
            <w:tcW w:w="1265" w:type="pct"/>
            <w:shd w:val="clear" w:color="auto" w:fill="FFFFFF" w:themeFill="background1"/>
          </w:tcPr>
          <w:p w14:paraId="62B598C5" w14:textId="328171D3" w:rsidR="00316E29" w:rsidRPr="00A17857" w:rsidRDefault="009C3543" w:rsidP="00316E29">
            <w:pPr>
              <w:jc w:val="both"/>
              <w:rPr>
                <w:b/>
                <w:bCs/>
                <w:i/>
                <w:iCs/>
                <w:sz w:val="20"/>
                <w:szCs w:val="20"/>
              </w:rPr>
            </w:pPr>
            <w:r w:rsidRPr="00A17857">
              <w:rPr>
                <w:b/>
                <w:bCs/>
                <w:i/>
                <w:iCs/>
                <w:sz w:val="20"/>
                <w:szCs w:val="20"/>
              </w:rPr>
              <w:t>“</w:t>
            </w:r>
            <w:r w:rsidR="00316E29" w:rsidRPr="00A17857">
              <w:rPr>
                <w:b/>
                <w:bCs/>
                <w:i/>
                <w:iCs/>
                <w:sz w:val="20"/>
                <w:szCs w:val="20"/>
              </w:rPr>
              <w:t>Artículo 8. Comunicación al supervisor</w:t>
            </w:r>
          </w:p>
          <w:p w14:paraId="6BB29A66" w14:textId="77777777" w:rsidR="00316E29" w:rsidRPr="00A17857" w:rsidRDefault="00316E29" w:rsidP="00316E29">
            <w:pPr>
              <w:jc w:val="both"/>
              <w:rPr>
                <w:i/>
                <w:iCs/>
                <w:sz w:val="20"/>
                <w:szCs w:val="20"/>
              </w:rPr>
            </w:pPr>
            <w:r w:rsidRPr="00A17857">
              <w:rPr>
                <w:i/>
                <w:iCs/>
                <w:sz w:val="20"/>
                <w:szCs w:val="20"/>
              </w:rPr>
              <w:t>(…)</w:t>
            </w:r>
          </w:p>
          <w:p w14:paraId="3DDA3D48" w14:textId="77777777" w:rsidR="00316E29" w:rsidRPr="00A17857" w:rsidRDefault="00316E29" w:rsidP="00316E29">
            <w:pPr>
              <w:jc w:val="both"/>
              <w:rPr>
                <w:i/>
                <w:iCs/>
                <w:sz w:val="20"/>
                <w:szCs w:val="20"/>
              </w:rPr>
            </w:pPr>
            <w:proofErr w:type="spellStart"/>
            <w:r w:rsidRPr="00A17857">
              <w:rPr>
                <w:i/>
                <w:iCs/>
                <w:sz w:val="20"/>
                <w:szCs w:val="20"/>
              </w:rPr>
              <w:t>ii</w:t>
            </w:r>
            <w:proofErr w:type="spellEnd"/>
            <w:r w:rsidRPr="00A17857">
              <w:rPr>
                <w:i/>
                <w:iCs/>
                <w:sz w:val="20"/>
                <w:szCs w:val="20"/>
              </w:rPr>
              <w:t>.</w:t>
            </w:r>
            <w:r w:rsidRPr="00A17857">
              <w:rPr>
                <w:i/>
                <w:iCs/>
                <w:sz w:val="20"/>
                <w:szCs w:val="20"/>
              </w:rPr>
              <w:tab/>
              <w:t>(Derogado)</w:t>
            </w:r>
          </w:p>
          <w:p w14:paraId="786DC14E" w14:textId="77777777" w:rsidR="00316E29" w:rsidRPr="00A17857" w:rsidRDefault="00316E29" w:rsidP="00316E29">
            <w:pPr>
              <w:jc w:val="both"/>
              <w:rPr>
                <w:i/>
                <w:iCs/>
                <w:sz w:val="20"/>
                <w:szCs w:val="20"/>
              </w:rPr>
            </w:pPr>
            <w:proofErr w:type="spellStart"/>
            <w:r w:rsidRPr="00A17857">
              <w:rPr>
                <w:i/>
                <w:iCs/>
                <w:sz w:val="20"/>
                <w:szCs w:val="20"/>
              </w:rPr>
              <w:t>iii</w:t>
            </w:r>
            <w:proofErr w:type="spellEnd"/>
            <w:r w:rsidRPr="00A17857">
              <w:rPr>
                <w:i/>
                <w:iCs/>
                <w:sz w:val="20"/>
                <w:szCs w:val="20"/>
              </w:rPr>
              <w:t>.</w:t>
            </w:r>
            <w:r w:rsidRPr="00A17857">
              <w:rPr>
                <w:i/>
                <w:iCs/>
                <w:sz w:val="20"/>
                <w:szCs w:val="20"/>
              </w:rPr>
              <w:tab/>
              <w:t>El desvío de la trayectoria y el rango de tolerancia definido por el órgano de dirección.</w:t>
            </w:r>
          </w:p>
          <w:p w14:paraId="259DB87C" w14:textId="77777777" w:rsidR="00316E29" w:rsidRPr="00A17857" w:rsidRDefault="00316E29" w:rsidP="00316E29">
            <w:pPr>
              <w:jc w:val="both"/>
              <w:rPr>
                <w:i/>
                <w:iCs/>
                <w:sz w:val="20"/>
                <w:szCs w:val="20"/>
              </w:rPr>
            </w:pPr>
            <w:r w:rsidRPr="00A17857">
              <w:rPr>
                <w:i/>
                <w:iCs/>
                <w:sz w:val="20"/>
                <w:szCs w:val="20"/>
              </w:rPr>
              <w:t>(…)”</w:t>
            </w:r>
          </w:p>
          <w:p w14:paraId="7959A398" w14:textId="2161E7ED" w:rsidR="00827BE0" w:rsidRPr="00A17857" w:rsidRDefault="00827BE0" w:rsidP="00914FAE">
            <w:pPr>
              <w:contextualSpacing/>
              <w:jc w:val="both"/>
              <w:rPr>
                <w:sz w:val="20"/>
                <w:szCs w:val="20"/>
              </w:rPr>
            </w:pPr>
          </w:p>
        </w:tc>
        <w:tc>
          <w:tcPr>
            <w:tcW w:w="1236" w:type="pct"/>
            <w:shd w:val="clear" w:color="auto" w:fill="FFFFFF" w:themeFill="background1"/>
          </w:tcPr>
          <w:p w14:paraId="625668F5" w14:textId="2108CF48" w:rsidR="000B768F" w:rsidRDefault="00C33A3F" w:rsidP="000B768F">
            <w:pPr>
              <w:pStyle w:val="Textocomentario"/>
              <w:spacing w:after="0"/>
              <w:jc w:val="both"/>
              <w:rPr>
                <w:rFonts w:eastAsia="Times New Roman"/>
                <w:lang w:eastAsia="es-MX"/>
              </w:rPr>
            </w:pPr>
            <w:r>
              <w:rPr>
                <w:b/>
                <w:bCs/>
              </w:rPr>
              <w:t xml:space="preserve">OPC </w:t>
            </w:r>
            <w:r w:rsidRPr="002D2C6B">
              <w:rPr>
                <w:b/>
                <w:bCs/>
              </w:rPr>
              <w:t>CCSS</w:t>
            </w:r>
            <w:r>
              <w:rPr>
                <w:b/>
                <w:bCs/>
              </w:rPr>
              <w:t xml:space="preserve"> (</w:t>
            </w:r>
            <w:r w:rsidRPr="009D34F7">
              <w:rPr>
                <w:sz w:val="23"/>
                <w:szCs w:val="23"/>
              </w:rPr>
              <w:t>GG-287-2024</w:t>
            </w:r>
            <w:r>
              <w:rPr>
                <w:sz w:val="23"/>
                <w:szCs w:val="23"/>
              </w:rPr>
              <w:t>)</w:t>
            </w:r>
            <w:r w:rsidR="00ED04A8" w:rsidRPr="00ED04A8">
              <w:rPr>
                <w:rFonts w:eastAsia="Times New Roman"/>
                <w:b/>
                <w:bCs/>
                <w:lang w:eastAsia="es-MX"/>
              </w:rPr>
              <w:t xml:space="preserve">: </w:t>
            </w:r>
            <w:r w:rsidR="00ED04A8" w:rsidRPr="00ED04A8">
              <w:rPr>
                <w:rFonts w:eastAsia="Times New Roman"/>
                <w:lang w:eastAsia="es-MX"/>
              </w:rPr>
              <w:t xml:space="preserve">Se considera oportuno mantener la redacción del SP-A-267-2024 en los incisos </w:t>
            </w:r>
            <w:proofErr w:type="spellStart"/>
            <w:r w:rsidR="00ED04A8" w:rsidRPr="00ED04A8">
              <w:rPr>
                <w:rFonts w:eastAsia="Times New Roman"/>
                <w:lang w:eastAsia="es-MX"/>
              </w:rPr>
              <w:t>ii</w:t>
            </w:r>
            <w:proofErr w:type="spellEnd"/>
            <w:r w:rsidR="00ED04A8" w:rsidRPr="00ED04A8">
              <w:rPr>
                <w:rFonts w:eastAsia="Times New Roman"/>
                <w:lang w:eastAsia="es-MX"/>
              </w:rPr>
              <w:t xml:space="preserve">. y </w:t>
            </w:r>
            <w:proofErr w:type="spellStart"/>
            <w:r w:rsidR="00ED04A8" w:rsidRPr="00ED04A8">
              <w:rPr>
                <w:rFonts w:eastAsia="Times New Roman"/>
                <w:lang w:eastAsia="es-MX"/>
              </w:rPr>
              <w:t>iii</w:t>
            </w:r>
            <w:proofErr w:type="spellEnd"/>
            <w:r w:rsidR="00ED04A8" w:rsidRPr="00ED04A8">
              <w:rPr>
                <w:rFonts w:eastAsia="Times New Roman"/>
                <w:lang w:eastAsia="es-MX"/>
              </w:rPr>
              <w:t>. del artículo 8, para mantener congruencia con el artículo 4 y 6 indicados anteriormente.</w:t>
            </w:r>
            <w:r w:rsidR="00537732">
              <w:rPr>
                <w:rFonts w:eastAsia="Times New Roman"/>
                <w:lang w:eastAsia="es-MX"/>
              </w:rPr>
              <w:t xml:space="preserve"> </w:t>
            </w:r>
            <w:r w:rsidR="000B768F" w:rsidRPr="000B768F">
              <w:rPr>
                <w:rFonts w:eastAsia="Times New Roman"/>
                <w:b/>
                <w:bCs/>
                <w:u w:val="single"/>
                <w:lang w:eastAsia="es-MX"/>
              </w:rPr>
              <w:t xml:space="preserve">Justificación/explicación de las recomendaciones a los artículos 4, 6 y 8: </w:t>
            </w:r>
            <w:r w:rsidR="000B768F" w:rsidRPr="000B768F">
              <w:rPr>
                <w:rFonts w:eastAsia="Times New Roman"/>
                <w:lang w:eastAsia="es-MX"/>
              </w:rPr>
              <w:t xml:space="preserve">Desde la perspectiva de esta Operadora, se considera relevante la reformulación de estos artículos con el fin de contar con mayor claridad sobre la movilización de la administración y supervisión de los fondos generacionales a la aplicación de prácticas financieras aceptadas internacionalmente, en pro del beneficio del afiliado, pues es el uso del concepto Error de seguimiento, el que proporciona la correcta medición del desempeño de la gestión de los portafolios de </w:t>
            </w:r>
            <w:r w:rsidR="000B768F" w:rsidRPr="000B768F">
              <w:rPr>
                <w:rFonts w:eastAsia="Times New Roman"/>
                <w:lang w:eastAsia="es-MX"/>
              </w:rPr>
              <w:lastRenderedPageBreak/>
              <w:t>inversión en comparación a un objetivo declarado en la trayectoria de inversión de cada fondo generacional y no la medición propia sobre del cumplimiento de la trayectoria de inversión.</w:t>
            </w:r>
          </w:p>
          <w:p w14:paraId="34B5A825" w14:textId="77777777" w:rsidR="00132DFC" w:rsidRDefault="00132DFC" w:rsidP="000B768F">
            <w:pPr>
              <w:pStyle w:val="Textocomentario"/>
              <w:spacing w:after="0"/>
              <w:jc w:val="both"/>
              <w:rPr>
                <w:rFonts w:eastAsia="Times New Roman"/>
                <w:lang w:eastAsia="es-MX"/>
              </w:rPr>
            </w:pPr>
          </w:p>
          <w:p w14:paraId="304C3764" w14:textId="0DFD837A" w:rsidR="00291848" w:rsidRPr="00291848" w:rsidRDefault="00291848" w:rsidP="00291848">
            <w:pPr>
              <w:pStyle w:val="paragraph"/>
              <w:spacing w:before="0" w:beforeAutospacing="0" w:after="0" w:afterAutospacing="0"/>
              <w:jc w:val="both"/>
              <w:textAlignment w:val="baseline"/>
              <w:rPr>
                <w:rFonts w:ascii="Segoe UI" w:hAnsi="Segoe UI" w:cs="Segoe UI"/>
                <w:sz w:val="18"/>
                <w:szCs w:val="18"/>
              </w:rPr>
            </w:pPr>
            <w:r w:rsidRPr="00291848">
              <w:rPr>
                <w:rStyle w:val="normaltextrun"/>
                <w:color w:val="4471C4"/>
                <w:sz w:val="20"/>
                <w:szCs w:val="20"/>
              </w:rPr>
              <w:t>Respuesta</w:t>
            </w:r>
            <w:r w:rsidR="00883071">
              <w:rPr>
                <w:rStyle w:val="normaltextrun"/>
                <w:color w:val="4471C4"/>
                <w:sz w:val="20"/>
                <w:szCs w:val="20"/>
              </w:rPr>
              <w:t>:</w:t>
            </w:r>
            <w:r w:rsidRPr="00291848">
              <w:rPr>
                <w:rStyle w:val="eop"/>
                <w:color w:val="4471C4"/>
                <w:sz w:val="20"/>
                <w:szCs w:val="20"/>
              </w:rPr>
              <w:t> </w:t>
            </w:r>
          </w:p>
          <w:p w14:paraId="65802101" w14:textId="77777777" w:rsidR="00902A39" w:rsidRDefault="00291848" w:rsidP="0013522B">
            <w:pPr>
              <w:pStyle w:val="paragraph"/>
              <w:spacing w:before="0" w:beforeAutospacing="0" w:after="0" w:afterAutospacing="0"/>
              <w:jc w:val="both"/>
              <w:textAlignment w:val="baseline"/>
              <w:rPr>
                <w:rStyle w:val="normaltextrun"/>
                <w:color w:val="4471C4"/>
                <w:sz w:val="20"/>
                <w:szCs w:val="20"/>
              </w:rPr>
            </w:pPr>
            <w:r w:rsidRPr="00291848">
              <w:rPr>
                <w:rStyle w:val="normaltextrun"/>
                <w:color w:val="4471C4"/>
                <w:sz w:val="20"/>
                <w:szCs w:val="20"/>
              </w:rPr>
              <w:t>No se acepta</w:t>
            </w:r>
            <w:r w:rsidR="00883071">
              <w:rPr>
                <w:rStyle w:val="normaltextrun"/>
                <w:color w:val="4471C4"/>
                <w:sz w:val="20"/>
                <w:szCs w:val="20"/>
              </w:rPr>
              <w:t>.</w:t>
            </w:r>
            <w:r w:rsidRPr="00291848">
              <w:rPr>
                <w:rStyle w:val="normaltextrun"/>
                <w:color w:val="4471C4"/>
                <w:sz w:val="20"/>
                <w:szCs w:val="20"/>
              </w:rPr>
              <w:t xml:space="preserve"> </w:t>
            </w:r>
            <w:r w:rsidR="0013522B">
              <w:rPr>
                <w:rStyle w:val="normaltextrun"/>
                <w:color w:val="4471C4"/>
                <w:sz w:val="20"/>
                <w:szCs w:val="20"/>
              </w:rPr>
              <w:t>E</w:t>
            </w:r>
            <w:r w:rsidR="0013522B" w:rsidRPr="00AE6DC6">
              <w:rPr>
                <w:rStyle w:val="normaltextrun"/>
                <w:color w:val="4471C4"/>
                <w:sz w:val="20"/>
                <w:szCs w:val="20"/>
              </w:rPr>
              <w:t xml:space="preserve">l texto propuesto en </w:t>
            </w:r>
            <w:r w:rsidR="0013522B">
              <w:rPr>
                <w:rStyle w:val="normaltextrun"/>
                <w:color w:val="4471C4"/>
                <w:sz w:val="20"/>
                <w:szCs w:val="20"/>
              </w:rPr>
              <w:t xml:space="preserve">la norma consultada busca implementar </w:t>
            </w:r>
            <w:r w:rsidR="00A855D5">
              <w:rPr>
                <w:rStyle w:val="normaltextrun"/>
                <w:color w:val="4471C4"/>
                <w:sz w:val="20"/>
                <w:szCs w:val="20"/>
              </w:rPr>
              <w:t>el concepto normativo de desviaciones en</w:t>
            </w:r>
            <w:r w:rsidR="00902A39">
              <w:rPr>
                <w:rStyle w:val="normaltextrun"/>
                <w:color w:val="4471C4"/>
                <w:sz w:val="20"/>
                <w:szCs w:val="20"/>
              </w:rPr>
              <w:t xml:space="preserve"> la trayectoria</w:t>
            </w:r>
            <w:r w:rsidR="0013522B">
              <w:rPr>
                <w:rStyle w:val="normaltextrun"/>
                <w:color w:val="4471C4"/>
                <w:sz w:val="20"/>
                <w:szCs w:val="20"/>
              </w:rPr>
              <w:t>.</w:t>
            </w:r>
          </w:p>
          <w:p w14:paraId="7E41CDD7" w14:textId="53FC3FF6" w:rsidR="0013522B" w:rsidRPr="009239A0" w:rsidRDefault="00902A39" w:rsidP="0013522B">
            <w:pPr>
              <w:pStyle w:val="paragraph"/>
              <w:spacing w:before="0" w:beforeAutospacing="0" w:after="0" w:afterAutospacing="0"/>
              <w:jc w:val="both"/>
              <w:textAlignment w:val="baseline"/>
              <w:rPr>
                <w:rFonts w:ascii="Segoe UI" w:hAnsi="Segoe UI" w:cs="Segoe UI"/>
                <w:sz w:val="18"/>
                <w:szCs w:val="18"/>
              </w:rPr>
            </w:pPr>
            <w:r>
              <w:rPr>
                <w:rStyle w:val="normaltextrun"/>
                <w:color w:val="4471C4"/>
                <w:sz w:val="20"/>
                <w:szCs w:val="20"/>
              </w:rPr>
              <w:t xml:space="preserve">Abordajes más cuantitativos </w:t>
            </w:r>
            <w:r w:rsidR="0050433B">
              <w:rPr>
                <w:rStyle w:val="normaltextrun"/>
                <w:color w:val="4471C4"/>
                <w:sz w:val="20"/>
                <w:szCs w:val="20"/>
              </w:rPr>
              <w:t xml:space="preserve">del desvío de la trayectoria </w:t>
            </w:r>
            <w:r w:rsidR="0013522B">
              <w:rPr>
                <w:rStyle w:val="normaltextrun"/>
                <w:color w:val="4471C4"/>
                <w:sz w:val="20"/>
                <w:szCs w:val="20"/>
              </w:rPr>
              <w:t>requieren de la recopilación de datos históricos sobr</w:t>
            </w:r>
            <w:r w:rsidR="0013522B" w:rsidRPr="009239A0">
              <w:rPr>
                <w:rStyle w:val="normaltextrun"/>
                <w:color w:val="4471C4"/>
                <w:sz w:val="20"/>
                <w:szCs w:val="20"/>
              </w:rPr>
              <w:t xml:space="preserve">e </w:t>
            </w:r>
            <w:r w:rsidR="0013522B">
              <w:rPr>
                <w:rStyle w:val="normaltextrun"/>
                <w:color w:val="4471C4"/>
                <w:sz w:val="20"/>
                <w:szCs w:val="20"/>
              </w:rPr>
              <w:t>el comportamiento</w:t>
            </w:r>
            <w:r w:rsidR="0013522B" w:rsidRPr="009239A0">
              <w:rPr>
                <w:rStyle w:val="normaltextrun"/>
                <w:color w:val="4471C4"/>
                <w:sz w:val="20"/>
                <w:szCs w:val="20"/>
              </w:rPr>
              <w:t xml:space="preserve"> de las inversiones de los fondos</w:t>
            </w:r>
            <w:r w:rsidR="0050433B">
              <w:rPr>
                <w:rStyle w:val="normaltextrun"/>
                <w:color w:val="4471C4"/>
                <w:sz w:val="20"/>
                <w:szCs w:val="20"/>
              </w:rPr>
              <w:t xml:space="preserve"> generacionales</w:t>
            </w:r>
            <w:r w:rsidR="0013522B">
              <w:rPr>
                <w:rStyle w:val="normaltextrun"/>
                <w:color w:val="4471C4"/>
                <w:sz w:val="20"/>
                <w:szCs w:val="20"/>
              </w:rPr>
              <w:t>, así como de la madurez del modelo, por lo que otras medidas de desempeño podr</w:t>
            </w:r>
            <w:r w:rsidR="006F4F9A">
              <w:rPr>
                <w:rStyle w:val="normaltextrun"/>
                <w:color w:val="4471C4"/>
                <w:sz w:val="20"/>
                <w:szCs w:val="20"/>
              </w:rPr>
              <w:t>án</w:t>
            </w:r>
            <w:r w:rsidR="0013522B">
              <w:rPr>
                <w:rStyle w:val="normaltextrun"/>
                <w:color w:val="4471C4"/>
                <w:sz w:val="20"/>
                <w:szCs w:val="20"/>
              </w:rPr>
              <w:t xml:space="preserve"> ser </w:t>
            </w:r>
            <w:r w:rsidR="003C77BC">
              <w:rPr>
                <w:rStyle w:val="normaltextrun"/>
                <w:color w:val="4471C4"/>
                <w:sz w:val="20"/>
                <w:szCs w:val="20"/>
              </w:rPr>
              <w:t>incluidas</w:t>
            </w:r>
            <w:r w:rsidR="0013522B">
              <w:rPr>
                <w:rStyle w:val="normaltextrun"/>
                <w:color w:val="4471C4"/>
                <w:sz w:val="20"/>
                <w:szCs w:val="20"/>
              </w:rPr>
              <w:t xml:space="preserve"> </w:t>
            </w:r>
            <w:r w:rsidR="006F4F9A">
              <w:rPr>
                <w:rStyle w:val="normaltextrun"/>
                <w:color w:val="4471C4"/>
                <w:sz w:val="20"/>
                <w:szCs w:val="20"/>
              </w:rPr>
              <w:t>en próximos ajustes normativos</w:t>
            </w:r>
            <w:r w:rsidR="0013522B">
              <w:rPr>
                <w:rStyle w:val="normaltextrun"/>
                <w:color w:val="4471C4"/>
                <w:sz w:val="20"/>
                <w:szCs w:val="20"/>
              </w:rPr>
              <w:t>.</w:t>
            </w:r>
          </w:p>
          <w:p w14:paraId="66C2040E" w14:textId="77777777" w:rsidR="00291848" w:rsidRDefault="00291848" w:rsidP="000B768F">
            <w:pPr>
              <w:pStyle w:val="Textocomentario"/>
              <w:spacing w:after="0"/>
              <w:jc w:val="both"/>
              <w:rPr>
                <w:rFonts w:eastAsia="Times New Roman"/>
                <w:lang w:eastAsia="es-MX"/>
              </w:rPr>
            </w:pPr>
          </w:p>
          <w:p w14:paraId="7AD574B1" w14:textId="2F07A5BE" w:rsidR="00267F91" w:rsidRDefault="00132DFC" w:rsidP="00267F91">
            <w:pPr>
              <w:pStyle w:val="Textocomentario"/>
              <w:spacing w:after="0"/>
              <w:jc w:val="both"/>
              <w:rPr>
                <w:rFonts w:eastAsia="Times New Roman"/>
                <w:lang w:eastAsia="es-MX"/>
              </w:rPr>
            </w:pPr>
            <w:r w:rsidRPr="00132DFC">
              <w:rPr>
                <w:rFonts w:eastAsia="Times New Roman"/>
                <w:b/>
                <w:bCs/>
                <w:lang w:eastAsia="es-MX"/>
              </w:rPr>
              <w:t>ACOP</w:t>
            </w:r>
            <w:r w:rsidR="002F7D11">
              <w:rPr>
                <w:rFonts w:eastAsia="Times New Roman"/>
                <w:b/>
                <w:bCs/>
                <w:lang w:eastAsia="es-MX"/>
              </w:rPr>
              <w:t xml:space="preserve"> (</w:t>
            </w:r>
            <w:r w:rsidR="002F7D11" w:rsidRPr="00855265">
              <w:rPr>
                <w:sz w:val="23"/>
                <w:szCs w:val="23"/>
              </w:rPr>
              <w:t>ACOP-037-2024</w:t>
            </w:r>
            <w:r w:rsidR="002F7D11">
              <w:rPr>
                <w:sz w:val="23"/>
                <w:szCs w:val="23"/>
              </w:rPr>
              <w:t>)</w:t>
            </w:r>
            <w:r>
              <w:rPr>
                <w:rFonts w:eastAsia="Times New Roman"/>
                <w:lang w:eastAsia="es-MX"/>
              </w:rPr>
              <w:t xml:space="preserve">: </w:t>
            </w:r>
            <w:r w:rsidR="00F82884" w:rsidRPr="00F82884">
              <w:rPr>
                <w:rFonts w:eastAsia="Times New Roman"/>
                <w:lang w:eastAsia="es-MX"/>
              </w:rPr>
              <w:t>Sugiere la siguiente redacción para el texto:</w:t>
            </w:r>
            <w:r w:rsidR="00F82884">
              <w:rPr>
                <w:rFonts w:eastAsia="Times New Roman"/>
                <w:lang w:eastAsia="es-MX"/>
              </w:rPr>
              <w:t xml:space="preserve"> </w:t>
            </w:r>
            <w:r w:rsidR="00267F91" w:rsidRPr="00267F91">
              <w:rPr>
                <w:rFonts w:eastAsia="Times New Roman"/>
                <w:lang w:eastAsia="es-MX"/>
              </w:rPr>
              <w:t>Se refiere a la diferencia entre la composición actual del portafolio (distribución de activos) y la asignación óptima según la estrategia de inversión predefinida (la trayectoria de inversión).</w:t>
            </w:r>
            <w:r w:rsidR="00267F91">
              <w:rPr>
                <w:rFonts w:eastAsia="Times New Roman"/>
                <w:lang w:eastAsia="es-MX"/>
              </w:rPr>
              <w:t xml:space="preserve"> </w:t>
            </w:r>
          </w:p>
          <w:p w14:paraId="4784CD99" w14:textId="51430D62" w:rsidR="00267F91" w:rsidRPr="00267F91" w:rsidRDefault="00267F91" w:rsidP="00267F91">
            <w:pPr>
              <w:pStyle w:val="Textocomentario"/>
              <w:spacing w:after="0"/>
              <w:jc w:val="both"/>
              <w:rPr>
                <w:rFonts w:eastAsia="Times New Roman"/>
                <w:i/>
                <w:iCs/>
                <w:lang w:eastAsia="es-MX"/>
              </w:rPr>
            </w:pPr>
            <w:r w:rsidRPr="00267F91">
              <w:rPr>
                <w:rFonts w:eastAsia="Times New Roman"/>
                <w:i/>
                <w:iCs/>
                <w:lang w:eastAsia="es-MX"/>
              </w:rPr>
              <w:t xml:space="preserve">“Artículo 8. Comunicación al supervisor. La trayectoria de inversión </w:t>
            </w:r>
            <w:r w:rsidRPr="00695A54">
              <w:rPr>
                <w:rFonts w:eastAsia="Times New Roman"/>
                <w:b/>
                <w:bCs/>
                <w:i/>
                <w:iCs/>
                <w:lang w:eastAsia="es-MX"/>
              </w:rPr>
              <w:t>como asignación óptima de activos</w:t>
            </w:r>
            <w:r w:rsidRPr="00267F91">
              <w:rPr>
                <w:rFonts w:eastAsia="Times New Roman"/>
                <w:i/>
                <w:iCs/>
                <w:lang w:eastAsia="es-MX"/>
              </w:rPr>
              <w:t xml:space="preserve"> y la tasa de reemplazo deberán documentarse y remitirse a la Superintendencia cuando se aprueben en firme.</w:t>
            </w:r>
          </w:p>
          <w:p w14:paraId="184D4E3A" w14:textId="77777777" w:rsidR="00267F91" w:rsidRPr="00267F91" w:rsidRDefault="00267F91" w:rsidP="00267F91">
            <w:pPr>
              <w:pStyle w:val="Textocomentario"/>
              <w:spacing w:after="0"/>
              <w:jc w:val="both"/>
              <w:rPr>
                <w:rFonts w:eastAsia="Times New Roman"/>
                <w:i/>
                <w:iCs/>
                <w:lang w:eastAsia="es-MX"/>
              </w:rPr>
            </w:pPr>
            <w:r w:rsidRPr="00267F91">
              <w:rPr>
                <w:rFonts w:eastAsia="Times New Roman"/>
                <w:i/>
                <w:iCs/>
                <w:lang w:eastAsia="es-MX"/>
              </w:rPr>
              <w:t>Cada seis meses, las Operadoras deberán documentar y remitir a la SUPEN los resultados del seguimiento a la trayectoria de inversión y la tasa de reemplazo de cada fondo generacional.</w:t>
            </w:r>
          </w:p>
          <w:p w14:paraId="6BE2854D" w14:textId="1D0D0A35" w:rsidR="00267F91" w:rsidRPr="00267F91" w:rsidRDefault="00267F91" w:rsidP="00267F91">
            <w:pPr>
              <w:pStyle w:val="Textocomentario"/>
              <w:spacing w:after="0"/>
              <w:jc w:val="both"/>
              <w:rPr>
                <w:rFonts w:eastAsia="Times New Roman"/>
                <w:i/>
                <w:iCs/>
                <w:lang w:eastAsia="es-MX"/>
              </w:rPr>
            </w:pPr>
            <w:r w:rsidRPr="00267F91">
              <w:rPr>
                <w:rFonts w:eastAsia="Times New Roman"/>
                <w:i/>
                <w:iCs/>
                <w:lang w:eastAsia="es-MX"/>
              </w:rPr>
              <w:t>Lo anterior deberá realizarse para cada fondo generacional y, como mínimo, deberán contener:</w:t>
            </w:r>
          </w:p>
          <w:p w14:paraId="6C20CD63" w14:textId="77777777" w:rsidR="00267F91" w:rsidRPr="00695A54" w:rsidRDefault="00267F91" w:rsidP="00267F91">
            <w:pPr>
              <w:pStyle w:val="Textocomentario"/>
              <w:spacing w:after="0"/>
              <w:jc w:val="both"/>
              <w:rPr>
                <w:rFonts w:eastAsia="Times New Roman"/>
                <w:b/>
                <w:bCs/>
                <w:i/>
                <w:iCs/>
                <w:lang w:eastAsia="es-MX"/>
              </w:rPr>
            </w:pPr>
            <w:r w:rsidRPr="00267F91">
              <w:rPr>
                <w:rFonts w:eastAsia="Times New Roman"/>
                <w:i/>
                <w:iCs/>
                <w:lang w:eastAsia="es-MX"/>
              </w:rPr>
              <w:t xml:space="preserve">i. La evaluación de la trayectoria de inversión, </w:t>
            </w:r>
            <w:r w:rsidRPr="00695A54">
              <w:rPr>
                <w:rFonts w:eastAsia="Times New Roman"/>
                <w:b/>
                <w:bCs/>
                <w:i/>
                <w:iCs/>
                <w:lang w:eastAsia="es-MX"/>
              </w:rPr>
              <w:t>como la diferencia entre la composición actual del portafolio (distribución de activos) y la asignación óptima según la estrategia de inversión predefinida.</w:t>
            </w:r>
          </w:p>
          <w:p w14:paraId="417436E4" w14:textId="77777777" w:rsidR="00267F91" w:rsidRPr="00267F91" w:rsidRDefault="00267F91" w:rsidP="00267F91">
            <w:pPr>
              <w:pStyle w:val="Textocomentario"/>
              <w:spacing w:after="0"/>
              <w:jc w:val="both"/>
              <w:rPr>
                <w:rFonts w:eastAsia="Times New Roman"/>
                <w:i/>
                <w:iCs/>
                <w:lang w:eastAsia="es-MX"/>
              </w:rPr>
            </w:pPr>
            <w:proofErr w:type="spellStart"/>
            <w:r w:rsidRPr="00267F91">
              <w:rPr>
                <w:rFonts w:eastAsia="Times New Roman"/>
                <w:i/>
                <w:iCs/>
                <w:lang w:eastAsia="es-MX"/>
              </w:rPr>
              <w:t>ii</w:t>
            </w:r>
            <w:proofErr w:type="spellEnd"/>
            <w:r w:rsidRPr="00267F91">
              <w:rPr>
                <w:rFonts w:eastAsia="Times New Roman"/>
                <w:i/>
                <w:iCs/>
                <w:lang w:eastAsia="es-MX"/>
              </w:rPr>
              <w:t>. Derogado</w:t>
            </w:r>
          </w:p>
          <w:p w14:paraId="02DA9B6E" w14:textId="226AA046" w:rsidR="00132DFC" w:rsidRPr="00267F91" w:rsidRDefault="00267F91" w:rsidP="00267F91">
            <w:pPr>
              <w:pStyle w:val="Textocomentario"/>
              <w:spacing w:after="0"/>
              <w:jc w:val="both"/>
              <w:rPr>
                <w:rFonts w:eastAsia="Times New Roman"/>
                <w:i/>
                <w:iCs/>
                <w:lang w:eastAsia="es-MX"/>
              </w:rPr>
            </w:pPr>
            <w:proofErr w:type="spellStart"/>
            <w:r w:rsidRPr="00267F91">
              <w:rPr>
                <w:rFonts w:eastAsia="Times New Roman"/>
                <w:i/>
                <w:iCs/>
                <w:lang w:eastAsia="es-MX"/>
              </w:rPr>
              <w:t>iii</w:t>
            </w:r>
            <w:proofErr w:type="spellEnd"/>
            <w:r w:rsidRPr="00267F91">
              <w:rPr>
                <w:rFonts w:eastAsia="Times New Roman"/>
                <w:i/>
                <w:iCs/>
                <w:lang w:eastAsia="es-MX"/>
              </w:rPr>
              <w:t>. El desvío real y el umbral de tolerancia que defina el órgano de dirección.”</w:t>
            </w:r>
          </w:p>
          <w:p w14:paraId="777457F0" w14:textId="77777777" w:rsidR="00ED04A8" w:rsidRDefault="00ED04A8" w:rsidP="00CB6E14">
            <w:pPr>
              <w:pStyle w:val="Textocomentario"/>
              <w:spacing w:after="0"/>
              <w:jc w:val="both"/>
              <w:rPr>
                <w:rFonts w:eastAsia="Times New Roman"/>
                <w:lang w:eastAsia="es-MX"/>
              </w:rPr>
            </w:pPr>
          </w:p>
          <w:p w14:paraId="6E370FEA" w14:textId="75F1A118" w:rsidR="00781C9F" w:rsidRDefault="00781C9F" w:rsidP="00781C9F">
            <w:pPr>
              <w:pStyle w:val="paragraph"/>
              <w:spacing w:before="0" w:beforeAutospacing="0" w:after="0" w:afterAutospacing="0"/>
              <w:jc w:val="both"/>
              <w:textAlignment w:val="baseline"/>
              <w:rPr>
                <w:rFonts w:ascii="Segoe UI" w:hAnsi="Segoe UI" w:cs="Segoe UI"/>
                <w:sz w:val="18"/>
                <w:szCs w:val="18"/>
              </w:rPr>
            </w:pPr>
            <w:r>
              <w:rPr>
                <w:rStyle w:val="normaltextrun"/>
                <w:color w:val="4471C4"/>
                <w:sz w:val="20"/>
                <w:szCs w:val="20"/>
              </w:rPr>
              <w:t>Respuesta</w:t>
            </w:r>
            <w:r w:rsidR="00AD667F">
              <w:rPr>
                <w:rStyle w:val="normaltextrun"/>
                <w:color w:val="4471C4"/>
                <w:sz w:val="20"/>
                <w:szCs w:val="20"/>
              </w:rPr>
              <w:t>:</w:t>
            </w:r>
            <w:r>
              <w:rPr>
                <w:rStyle w:val="eop"/>
                <w:color w:val="4471C4"/>
                <w:sz w:val="20"/>
                <w:szCs w:val="20"/>
              </w:rPr>
              <w:t> </w:t>
            </w:r>
          </w:p>
          <w:p w14:paraId="7EE5EAC9" w14:textId="5D009897" w:rsidR="00781C9F" w:rsidRPr="004F43C9" w:rsidRDefault="00781C9F" w:rsidP="004F43C9">
            <w:pPr>
              <w:pStyle w:val="paragraph"/>
              <w:spacing w:before="0" w:beforeAutospacing="0" w:after="0" w:afterAutospacing="0"/>
              <w:jc w:val="both"/>
              <w:textAlignment w:val="baseline"/>
              <w:rPr>
                <w:rFonts w:ascii="Segoe UI" w:hAnsi="Segoe UI" w:cs="Segoe UI"/>
                <w:sz w:val="18"/>
                <w:szCs w:val="18"/>
              </w:rPr>
            </w:pPr>
            <w:r>
              <w:rPr>
                <w:rStyle w:val="normaltextrun"/>
                <w:color w:val="4471C4"/>
                <w:sz w:val="20"/>
                <w:szCs w:val="20"/>
              </w:rPr>
              <w:t xml:space="preserve">No se acepta la recomendación de redacción del primer párrafo ya que no fortalece el entendimiento del artículo. No se acepta la recomendación de redacción </w:t>
            </w:r>
            <w:r>
              <w:rPr>
                <w:rStyle w:val="normaltextrun"/>
                <w:color w:val="4471C4"/>
                <w:sz w:val="20"/>
                <w:szCs w:val="20"/>
              </w:rPr>
              <w:lastRenderedPageBreak/>
              <w:t>del inciso i)</w:t>
            </w:r>
            <w:r w:rsidR="004F43C9">
              <w:rPr>
                <w:rStyle w:val="normaltextrun"/>
                <w:color w:val="4471C4"/>
                <w:sz w:val="20"/>
                <w:szCs w:val="20"/>
              </w:rPr>
              <w:t>,</w:t>
            </w:r>
            <w:r>
              <w:rPr>
                <w:rStyle w:val="normaltextrun"/>
                <w:color w:val="4471C4"/>
                <w:sz w:val="20"/>
                <w:szCs w:val="20"/>
              </w:rPr>
              <w:t xml:space="preserve"> </w:t>
            </w:r>
            <w:r w:rsidR="0049528B">
              <w:rPr>
                <w:rStyle w:val="normaltextrun"/>
                <w:color w:val="4471C4"/>
                <w:sz w:val="20"/>
                <w:szCs w:val="20"/>
              </w:rPr>
              <w:t xml:space="preserve">al haber sido la </w:t>
            </w:r>
            <w:r>
              <w:rPr>
                <w:rStyle w:val="normaltextrun"/>
                <w:color w:val="4471C4"/>
                <w:sz w:val="20"/>
                <w:szCs w:val="20"/>
              </w:rPr>
              <w:t>definición de</w:t>
            </w:r>
            <w:r w:rsidR="0049528B">
              <w:rPr>
                <w:rStyle w:val="normaltextrun"/>
                <w:color w:val="4471C4"/>
                <w:sz w:val="20"/>
                <w:szCs w:val="20"/>
              </w:rPr>
              <w:t xml:space="preserve"> la </w:t>
            </w:r>
            <w:r>
              <w:rPr>
                <w:rStyle w:val="normaltextrun"/>
                <w:color w:val="4471C4"/>
                <w:sz w:val="20"/>
                <w:szCs w:val="20"/>
              </w:rPr>
              <w:t xml:space="preserve">desviación de la trayectoria </w:t>
            </w:r>
            <w:r w:rsidR="003D5212">
              <w:rPr>
                <w:rStyle w:val="normaltextrun"/>
                <w:color w:val="4471C4"/>
                <w:sz w:val="20"/>
                <w:szCs w:val="20"/>
              </w:rPr>
              <w:t xml:space="preserve">atendida </w:t>
            </w:r>
            <w:r>
              <w:rPr>
                <w:rStyle w:val="normaltextrun"/>
                <w:color w:val="4471C4"/>
                <w:sz w:val="20"/>
                <w:szCs w:val="20"/>
              </w:rPr>
              <w:t>en el artículo</w:t>
            </w:r>
            <w:r w:rsidR="0049528B">
              <w:rPr>
                <w:rStyle w:val="normaltextrun"/>
                <w:color w:val="4471C4"/>
                <w:sz w:val="20"/>
                <w:szCs w:val="20"/>
              </w:rPr>
              <w:t xml:space="preserve"> cuarto.</w:t>
            </w:r>
          </w:p>
        </w:tc>
        <w:tc>
          <w:tcPr>
            <w:tcW w:w="1235" w:type="pct"/>
            <w:shd w:val="clear" w:color="auto" w:fill="FFFFFF" w:themeFill="background1"/>
          </w:tcPr>
          <w:p w14:paraId="51C2E36A" w14:textId="77777777" w:rsidR="009F454B" w:rsidRPr="00A17857" w:rsidRDefault="009F454B" w:rsidP="009F454B">
            <w:pPr>
              <w:jc w:val="both"/>
              <w:rPr>
                <w:b/>
                <w:bCs/>
                <w:i/>
                <w:iCs/>
                <w:sz w:val="20"/>
                <w:szCs w:val="20"/>
              </w:rPr>
            </w:pPr>
            <w:r w:rsidRPr="00A17857">
              <w:rPr>
                <w:b/>
                <w:bCs/>
                <w:i/>
                <w:iCs/>
                <w:sz w:val="20"/>
                <w:szCs w:val="20"/>
              </w:rPr>
              <w:lastRenderedPageBreak/>
              <w:t>“Artículo 8. Comunicación al supervisor</w:t>
            </w:r>
          </w:p>
          <w:p w14:paraId="3C9B3183" w14:textId="77777777" w:rsidR="009F454B" w:rsidRPr="00A17857" w:rsidRDefault="009F454B" w:rsidP="009F454B">
            <w:pPr>
              <w:jc w:val="both"/>
              <w:rPr>
                <w:i/>
                <w:iCs/>
                <w:sz w:val="20"/>
                <w:szCs w:val="20"/>
              </w:rPr>
            </w:pPr>
            <w:r w:rsidRPr="00A17857">
              <w:rPr>
                <w:i/>
                <w:iCs/>
                <w:sz w:val="20"/>
                <w:szCs w:val="20"/>
              </w:rPr>
              <w:t>(…)</w:t>
            </w:r>
          </w:p>
          <w:p w14:paraId="28C74236" w14:textId="77777777" w:rsidR="009F454B" w:rsidRPr="00A17857" w:rsidRDefault="009F454B" w:rsidP="009F454B">
            <w:pPr>
              <w:jc w:val="both"/>
              <w:rPr>
                <w:i/>
                <w:iCs/>
                <w:sz w:val="20"/>
                <w:szCs w:val="20"/>
              </w:rPr>
            </w:pPr>
            <w:proofErr w:type="spellStart"/>
            <w:r w:rsidRPr="00A17857">
              <w:rPr>
                <w:i/>
                <w:iCs/>
                <w:sz w:val="20"/>
                <w:szCs w:val="20"/>
              </w:rPr>
              <w:t>ii</w:t>
            </w:r>
            <w:proofErr w:type="spellEnd"/>
            <w:r w:rsidRPr="00A17857">
              <w:rPr>
                <w:i/>
                <w:iCs/>
                <w:sz w:val="20"/>
                <w:szCs w:val="20"/>
              </w:rPr>
              <w:t>.</w:t>
            </w:r>
            <w:r w:rsidRPr="00A17857">
              <w:rPr>
                <w:i/>
                <w:iCs/>
                <w:sz w:val="20"/>
                <w:szCs w:val="20"/>
              </w:rPr>
              <w:tab/>
              <w:t>(Derogado)</w:t>
            </w:r>
          </w:p>
          <w:p w14:paraId="7F43E05D" w14:textId="77777777" w:rsidR="009F454B" w:rsidRPr="00A17857" w:rsidRDefault="009F454B" w:rsidP="009F454B">
            <w:pPr>
              <w:jc w:val="both"/>
              <w:rPr>
                <w:i/>
                <w:iCs/>
                <w:sz w:val="20"/>
                <w:szCs w:val="20"/>
              </w:rPr>
            </w:pPr>
            <w:proofErr w:type="spellStart"/>
            <w:r w:rsidRPr="00A17857">
              <w:rPr>
                <w:i/>
                <w:iCs/>
                <w:sz w:val="20"/>
                <w:szCs w:val="20"/>
              </w:rPr>
              <w:t>iii</w:t>
            </w:r>
            <w:proofErr w:type="spellEnd"/>
            <w:r w:rsidRPr="00A17857">
              <w:rPr>
                <w:i/>
                <w:iCs/>
                <w:sz w:val="20"/>
                <w:szCs w:val="20"/>
              </w:rPr>
              <w:t>.</w:t>
            </w:r>
            <w:r w:rsidRPr="00A17857">
              <w:rPr>
                <w:i/>
                <w:iCs/>
                <w:sz w:val="20"/>
                <w:szCs w:val="20"/>
              </w:rPr>
              <w:tab/>
              <w:t>El desvío de la trayectoria y el rango de tolerancia definido por el órgano de dirección.</w:t>
            </w:r>
          </w:p>
          <w:p w14:paraId="6A034C50" w14:textId="77777777" w:rsidR="009F454B" w:rsidRPr="00A17857" w:rsidRDefault="009F454B" w:rsidP="009F454B">
            <w:pPr>
              <w:jc w:val="both"/>
              <w:rPr>
                <w:i/>
                <w:iCs/>
                <w:sz w:val="20"/>
                <w:szCs w:val="20"/>
              </w:rPr>
            </w:pPr>
            <w:r w:rsidRPr="00A17857">
              <w:rPr>
                <w:i/>
                <w:iCs/>
                <w:sz w:val="20"/>
                <w:szCs w:val="20"/>
              </w:rPr>
              <w:t>(…)”</w:t>
            </w:r>
          </w:p>
          <w:p w14:paraId="146935BE" w14:textId="31061791" w:rsidR="00A756CB" w:rsidRPr="00BD5D64" w:rsidRDefault="00A756CB" w:rsidP="00C514A3">
            <w:pPr>
              <w:jc w:val="both"/>
              <w:rPr>
                <w:rFonts w:ascii="Arial" w:hAnsi="Arial" w:cs="Arial"/>
                <w:i/>
                <w:sz w:val="20"/>
                <w:szCs w:val="20"/>
              </w:rPr>
            </w:pPr>
          </w:p>
        </w:tc>
      </w:tr>
      <w:tr w:rsidR="00DF44E7" w:rsidRPr="00BD5D64" w14:paraId="51D42E2C" w14:textId="476A02CF" w:rsidTr="5D5FBA91">
        <w:trPr>
          <w:trHeight w:val="410"/>
        </w:trPr>
        <w:tc>
          <w:tcPr>
            <w:tcW w:w="1264" w:type="pct"/>
            <w:shd w:val="clear" w:color="auto" w:fill="FFFFFF" w:themeFill="background1"/>
          </w:tcPr>
          <w:p w14:paraId="1B44C3CD" w14:textId="098B6820" w:rsidR="00DF44E7" w:rsidRPr="00A17857" w:rsidRDefault="00DF44E7" w:rsidP="00914FAE">
            <w:pPr>
              <w:spacing w:line="276" w:lineRule="auto"/>
              <w:jc w:val="both"/>
              <w:rPr>
                <w:sz w:val="20"/>
                <w:szCs w:val="20"/>
              </w:rPr>
            </w:pPr>
          </w:p>
        </w:tc>
        <w:tc>
          <w:tcPr>
            <w:tcW w:w="1265" w:type="pct"/>
            <w:shd w:val="clear" w:color="auto" w:fill="FFFFFF" w:themeFill="background1"/>
          </w:tcPr>
          <w:p w14:paraId="4BA2575F" w14:textId="77777777" w:rsidR="009C3543" w:rsidRPr="00A17857" w:rsidRDefault="009C3543" w:rsidP="009C3543">
            <w:pPr>
              <w:jc w:val="both"/>
              <w:rPr>
                <w:b/>
                <w:bCs/>
                <w:i/>
                <w:iCs/>
                <w:sz w:val="20"/>
                <w:szCs w:val="20"/>
              </w:rPr>
            </w:pPr>
            <w:r w:rsidRPr="00A17857">
              <w:rPr>
                <w:b/>
                <w:bCs/>
                <w:i/>
                <w:iCs/>
                <w:sz w:val="20"/>
                <w:szCs w:val="20"/>
              </w:rPr>
              <w:t>“Transitorio</w:t>
            </w:r>
          </w:p>
          <w:p w14:paraId="2DFEB327" w14:textId="77777777" w:rsidR="009C3543" w:rsidRPr="00A17857" w:rsidRDefault="009C3543" w:rsidP="009C3543">
            <w:pPr>
              <w:jc w:val="both"/>
              <w:rPr>
                <w:i/>
                <w:iCs/>
                <w:sz w:val="20"/>
                <w:szCs w:val="20"/>
              </w:rPr>
            </w:pPr>
            <w:r w:rsidRPr="00A17857">
              <w:rPr>
                <w:i/>
                <w:iCs/>
                <w:sz w:val="20"/>
                <w:szCs w:val="20"/>
              </w:rPr>
              <w:t xml:space="preserve">El inciso </w:t>
            </w:r>
            <w:proofErr w:type="spellStart"/>
            <w:r w:rsidRPr="00A17857">
              <w:rPr>
                <w:i/>
                <w:iCs/>
                <w:sz w:val="20"/>
                <w:szCs w:val="20"/>
              </w:rPr>
              <w:t>ii</w:t>
            </w:r>
            <w:proofErr w:type="spellEnd"/>
            <w:r w:rsidRPr="00A17857">
              <w:rPr>
                <w:i/>
                <w:iCs/>
                <w:sz w:val="20"/>
                <w:szCs w:val="20"/>
              </w:rPr>
              <w:t xml:space="preserve"> del artículo 2 de este acuerdo entrará en vigor doce meses después de la fecha de inicio de operación de los fondos generacionales.”</w:t>
            </w:r>
          </w:p>
          <w:p w14:paraId="414B29CE" w14:textId="19A3A417" w:rsidR="00DF44E7" w:rsidRPr="00A17857" w:rsidRDefault="00DF44E7" w:rsidP="00914FAE">
            <w:pPr>
              <w:spacing w:line="276" w:lineRule="auto"/>
              <w:jc w:val="both"/>
              <w:rPr>
                <w:b/>
                <w:bCs/>
                <w:sz w:val="20"/>
                <w:szCs w:val="20"/>
              </w:rPr>
            </w:pPr>
          </w:p>
        </w:tc>
        <w:tc>
          <w:tcPr>
            <w:tcW w:w="1236" w:type="pct"/>
            <w:shd w:val="clear" w:color="auto" w:fill="FFFFFF" w:themeFill="background1"/>
          </w:tcPr>
          <w:p w14:paraId="213F4CD9" w14:textId="0E4AFD5B" w:rsidR="00486B85" w:rsidRPr="00486B85" w:rsidRDefault="00486B85" w:rsidP="00486B85">
            <w:pPr>
              <w:jc w:val="both"/>
              <w:rPr>
                <w:sz w:val="20"/>
                <w:szCs w:val="20"/>
              </w:rPr>
            </w:pPr>
            <w:r w:rsidRPr="00486B85">
              <w:rPr>
                <w:b/>
                <w:bCs/>
                <w:sz w:val="20"/>
                <w:szCs w:val="20"/>
              </w:rPr>
              <w:t>BAC</w:t>
            </w:r>
            <w:r w:rsidR="002F7D11">
              <w:rPr>
                <w:b/>
                <w:bCs/>
                <w:sz w:val="20"/>
                <w:szCs w:val="20"/>
              </w:rPr>
              <w:t xml:space="preserve"> (</w:t>
            </w:r>
            <w:r w:rsidR="002F7D11" w:rsidRPr="00A17857">
              <w:rPr>
                <w:sz w:val="23"/>
                <w:szCs w:val="23"/>
              </w:rPr>
              <w:t>BAC-OPC-150-2024</w:t>
            </w:r>
            <w:r w:rsidR="002F7D11">
              <w:rPr>
                <w:sz w:val="23"/>
                <w:szCs w:val="23"/>
              </w:rPr>
              <w:t>)</w:t>
            </w:r>
            <w:r>
              <w:rPr>
                <w:sz w:val="20"/>
                <w:szCs w:val="20"/>
              </w:rPr>
              <w:t>: n</w:t>
            </w:r>
            <w:r w:rsidRPr="00486B85">
              <w:rPr>
                <w:sz w:val="20"/>
                <w:szCs w:val="20"/>
              </w:rPr>
              <w:t>uestros análisis indican que un periodo más apegado a</w:t>
            </w:r>
            <w:r>
              <w:rPr>
                <w:sz w:val="20"/>
                <w:szCs w:val="20"/>
              </w:rPr>
              <w:t xml:space="preserve"> </w:t>
            </w:r>
            <w:r w:rsidRPr="00486B85">
              <w:rPr>
                <w:sz w:val="20"/>
                <w:szCs w:val="20"/>
              </w:rPr>
              <w:t>la realidad para realizar la migración a los fondos objetivo es un rango de 24</w:t>
            </w:r>
            <w:r>
              <w:rPr>
                <w:sz w:val="20"/>
                <w:szCs w:val="20"/>
              </w:rPr>
              <w:t xml:space="preserve"> </w:t>
            </w:r>
            <w:r w:rsidRPr="00486B85">
              <w:rPr>
                <w:sz w:val="20"/>
                <w:szCs w:val="20"/>
              </w:rPr>
              <w:t>meses, en lugar de 12 meses, como se propone en el documento. Los motivos</w:t>
            </w:r>
          </w:p>
          <w:p w14:paraId="553F194F" w14:textId="77777777" w:rsidR="00E81D3C" w:rsidRDefault="00486B85" w:rsidP="00486B85">
            <w:pPr>
              <w:jc w:val="both"/>
              <w:rPr>
                <w:sz w:val="20"/>
                <w:szCs w:val="20"/>
              </w:rPr>
            </w:pPr>
            <w:r w:rsidRPr="00486B85">
              <w:rPr>
                <w:sz w:val="20"/>
                <w:szCs w:val="20"/>
              </w:rPr>
              <w:t>se presentan a continuación:</w:t>
            </w:r>
          </w:p>
          <w:p w14:paraId="6A58CEB2" w14:textId="77777777" w:rsidR="00486B85" w:rsidRDefault="00486B85" w:rsidP="009131E3">
            <w:pPr>
              <w:jc w:val="both"/>
              <w:rPr>
                <w:sz w:val="20"/>
                <w:szCs w:val="20"/>
              </w:rPr>
            </w:pPr>
            <w:r>
              <w:rPr>
                <w:sz w:val="20"/>
                <w:szCs w:val="20"/>
              </w:rPr>
              <w:t xml:space="preserve">a) </w:t>
            </w:r>
            <w:r w:rsidR="009131E3" w:rsidRPr="009131E3">
              <w:rPr>
                <w:sz w:val="20"/>
                <w:szCs w:val="20"/>
              </w:rPr>
              <w:t>La posibilidad de usar el crecimiento orgánico de la cartera para realizar el</w:t>
            </w:r>
            <w:r w:rsidR="009131E3">
              <w:rPr>
                <w:sz w:val="20"/>
                <w:szCs w:val="20"/>
              </w:rPr>
              <w:t xml:space="preserve"> </w:t>
            </w:r>
            <w:r w:rsidR="009131E3" w:rsidRPr="009131E3">
              <w:rPr>
                <w:sz w:val="20"/>
                <w:szCs w:val="20"/>
              </w:rPr>
              <w:t>movimiento con la ejecución mínima de ventas (libre transferencia, aportes y</w:t>
            </w:r>
            <w:r w:rsidR="009131E3">
              <w:rPr>
                <w:sz w:val="20"/>
                <w:szCs w:val="20"/>
              </w:rPr>
              <w:t xml:space="preserve"> </w:t>
            </w:r>
            <w:r w:rsidR="009131E3" w:rsidRPr="009131E3">
              <w:rPr>
                <w:sz w:val="20"/>
                <w:szCs w:val="20"/>
              </w:rPr>
              <w:t>cupones).</w:t>
            </w:r>
          </w:p>
          <w:p w14:paraId="0E793944" w14:textId="77777777" w:rsidR="009131E3" w:rsidRDefault="009131E3" w:rsidP="009131E3">
            <w:pPr>
              <w:jc w:val="both"/>
              <w:rPr>
                <w:sz w:val="20"/>
                <w:szCs w:val="20"/>
              </w:rPr>
            </w:pPr>
            <w:r>
              <w:rPr>
                <w:sz w:val="20"/>
                <w:szCs w:val="20"/>
              </w:rPr>
              <w:t xml:space="preserve">b) </w:t>
            </w:r>
            <w:r w:rsidRPr="009131E3">
              <w:rPr>
                <w:sz w:val="20"/>
                <w:szCs w:val="20"/>
              </w:rPr>
              <w:t>La inconveniencia de efectuar los traslados de mercado internacional en un</w:t>
            </w:r>
            <w:r>
              <w:rPr>
                <w:sz w:val="20"/>
                <w:szCs w:val="20"/>
              </w:rPr>
              <w:t xml:space="preserve"> </w:t>
            </w:r>
            <w:r w:rsidRPr="009131E3">
              <w:rPr>
                <w:sz w:val="20"/>
                <w:szCs w:val="20"/>
              </w:rPr>
              <w:t>único punto en el tiempo, especialmente en mercados volátiles como los que</w:t>
            </w:r>
            <w:r>
              <w:rPr>
                <w:sz w:val="20"/>
                <w:szCs w:val="20"/>
              </w:rPr>
              <w:t xml:space="preserve"> </w:t>
            </w:r>
            <w:r w:rsidRPr="009131E3">
              <w:rPr>
                <w:sz w:val="20"/>
                <w:szCs w:val="20"/>
              </w:rPr>
              <w:t>hemos estado experimentando desde agosto pasado.</w:t>
            </w:r>
          </w:p>
          <w:p w14:paraId="206CC123" w14:textId="77777777" w:rsidR="009131E3" w:rsidRDefault="009131E3" w:rsidP="00D71E78">
            <w:pPr>
              <w:jc w:val="both"/>
              <w:rPr>
                <w:sz w:val="20"/>
                <w:szCs w:val="20"/>
              </w:rPr>
            </w:pPr>
            <w:r>
              <w:rPr>
                <w:sz w:val="20"/>
                <w:szCs w:val="20"/>
              </w:rPr>
              <w:t xml:space="preserve">c) </w:t>
            </w:r>
            <w:r w:rsidR="00D71E78" w:rsidRPr="00D71E78">
              <w:rPr>
                <w:sz w:val="20"/>
                <w:szCs w:val="20"/>
              </w:rPr>
              <w:t>La naturaleza sistémica de la migración de las asignaciones estratégicas</w:t>
            </w:r>
            <w:r w:rsidR="00D71E78">
              <w:rPr>
                <w:sz w:val="20"/>
                <w:szCs w:val="20"/>
              </w:rPr>
              <w:t xml:space="preserve"> </w:t>
            </w:r>
            <w:r w:rsidR="00D71E78" w:rsidRPr="00D71E78">
              <w:rPr>
                <w:sz w:val="20"/>
                <w:szCs w:val="20"/>
              </w:rPr>
              <w:t>actuales de todas las</w:t>
            </w:r>
            <w:r w:rsidR="00D71E78">
              <w:rPr>
                <w:sz w:val="20"/>
                <w:szCs w:val="20"/>
              </w:rPr>
              <w:t xml:space="preserve"> </w:t>
            </w:r>
            <w:r w:rsidR="00D71E78" w:rsidRPr="00D71E78">
              <w:rPr>
                <w:sz w:val="20"/>
                <w:szCs w:val="20"/>
              </w:rPr>
              <w:t>operadoras en un único momento en el tiempo,</w:t>
            </w:r>
            <w:r w:rsidR="00D71E78">
              <w:rPr>
                <w:sz w:val="20"/>
                <w:szCs w:val="20"/>
              </w:rPr>
              <w:t xml:space="preserve"> </w:t>
            </w:r>
            <w:r w:rsidR="00D71E78" w:rsidRPr="00D71E78">
              <w:rPr>
                <w:sz w:val="20"/>
                <w:szCs w:val="20"/>
              </w:rPr>
              <w:t>representará un volumen muy significativo y con</w:t>
            </w:r>
            <w:r w:rsidR="00D71E78">
              <w:rPr>
                <w:sz w:val="20"/>
                <w:szCs w:val="20"/>
              </w:rPr>
              <w:t xml:space="preserve"> </w:t>
            </w:r>
            <w:r w:rsidR="00D71E78" w:rsidRPr="00D71E78">
              <w:rPr>
                <w:sz w:val="20"/>
                <w:szCs w:val="20"/>
              </w:rPr>
              <w:t>posible impacto negativo,</w:t>
            </w:r>
            <w:r w:rsidR="00D71E78">
              <w:rPr>
                <w:sz w:val="20"/>
                <w:szCs w:val="20"/>
              </w:rPr>
              <w:t xml:space="preserve"> </w:t>
            </w:r>
            <w:r w:rsidR="00D71E78" w:rsidRPr="00D71E78">
              <w:rPr>
                <w:sz w:val="20"/>
                <w:szCs w:val="20"/>
              </w:rPr>
              <w:t>dada la poca profundidad del mercado local. Para evitar posibles impactos</w:t>
            </w:r>
            <w:r w:rsidR="00D71E78">
              <w:rPr>
                <w:sz w:val="20"/>
                <w:szCs w:val="20"/>
              </w:rPr>
              <w:t xml:space="preserve"> </w:t>
            </w:r>
            <w:r w:rsidR="00D71E78" w:rsidRPr="00D71E78">
              <w:rPr>
                <w:sz w:val="20"/>
                <w:szCs w:val="20"/>
              </w:rPr>
              <w:t>de mercado que pudieran generar afectación a los mismos fondos y</w:t>
            </w:r>
            <w:r w:rsidR="00D71E78">
              <w:rPr>
                <w:sz w:val="20"/>
                <w:szCs w:val="20"/>
              </w:rPr>
              <w:t>,</w:t>
            </w:r>
            <w:r w:rsidR="00D71E78" w:rsidRPr="00D71E78">
              <w:rPr>
                <w:sz w:val="20"/>
                <w:szCs w:val="20"/>
              </w:rPr>
              <w:t xml:space="preserve"> por ende</w:t>
            </w:r>
            <w:r w:rsidR="00D71E78">
              <w:rPr>
                <w:sz w:val="20"/>
                <w:szCs w:val="20"/>
              </w:rPr>
              <w:t xml:space="preserve">, </w:t>
            </w:r>
            <w:r w:rsidR="00D71E78" w:rsidRPr="00D71E78">
              <w:rPr>
                <w:sz w:val="20"/>
                <w:szCs w:val="20"/>
              </w:rPr>
              <w:t>a los afiliados, es conveniente que el reacomodo de los portafolios se realice</w:t>
            </w:r>
            <w:r w:rsidR="00D71E78">
              <w:rPr>
                <w:sz w:val="20"/>
                <w:szCs w:val="20"/>
              </w:rPr>
              <w:t xml:space="preserve"> </w:t>
            </w:r>
            <w:r w:rsidR="00D71E78" w:rsidRPr="00D71E78">
              <w:rPr>
                <w:sz w:val="20"/>
                <w:szCs w:val="20"/>
              </w:rPr>
              <w:t>de una forma pausada, en un mayor espacio de tiempo.</w:t>
            </w:r>
          </w:p>
          <w:p w14:paraId="0D5C42CD" w14:textId="77777777" w:rsidR="00511F6E" w:rsidRDefault="00511F6E" w:rsidP="00D71E78">
            <w:pPr>
              <w:jc w:val="both"/>
              <w:rPr>
                <w:sz w:val="20"/>
                <w:szCs w:val="20"/>
              </w:rPr>
            </w:pPr>
          </w:p>
          <w:p w14:paraId="08022BD6" w14:textId="0184BBA2" w:rsidR="00BD0CEA" w:rsidRPr="001B1DD9" w:rsidRDefault="00BD0CEA" w:rsidP="00BD0CEA">
            <w:pPr>
              <w:jc w:val="both"/>
              <w:rPr>
                <w:rStyle w:val="normaltextrun"/>
                <w:color w:val="4471C4"/>
                <w:lang w:eastAsia="es-CR"/>
              </w:rPr>
            </w:pPr>
            <w:r w:rsidRPr="001B1DD9">
              <w:rPr>
                <w:rStyle w:val="normaltextrun"/>
                <w:color w:val="4471C4"/>
                <w:sz w:val="20"/>
                <w:szCs w:val="20"/>
                <w:lang w:eastAsia="es-CR"/>
              </w:rPr>
              <w:t>Respuesta: se toma nota</w:t>
            </w:r>
            <w:r w:rsidR="00B67340">
              <w:rPr>
                <w:rStyle w:val="normaltextrun"/>
                <w:color w:val="4471C4"/>
                <w:sz w:val="20"/>
                <w:szCs w:val="20"/>
                <w:lang w:eastAsia="es-CR"/>
              </w:rPr>
              <w:t>.</w:t>
            </w:r>
          </w:p>
          <w:p w14:paraId="138FA037" w14:textId="77777777" w:rsidR="00BD0CEA" w:rsidRDefault="00BD0CEA" w:rsidP="00D71E78">
            <w:pPr>
              <w:jc w:val="both"/>
              <w:rPr>
                <w:sz w:val="20"/>
                <w:szCs w:val="20"/>
              </w:rPr>
            </w:pPr>
          </w:p>
          <w:p w14:paraId="4419EBEA" w14:textId="2FF3AEC1" w:rsidR="00511F6E" w:rsidRDefault="00511F6E" w:rsidP="00D71E78">
            <w:pPr>
              <w:jc w:val="both"/>
              <w:rPr>
                <w:sz w:val="20"/>
                <w:szCs w:val="20"/>
              </w:rPr>
            </w:pPr>
            <w:r w:rsidRPr="00C12F0E">
              <w:rPr>
                <w:b/>
                <w:bCs/>
                <w:sz w:val="20"/>
                <w:szCs w:val="20"/>
              </w:rPr>
              <w:t>BCR</w:t>
            </w:r>
            <w:r w:rsidR="002F7D11">
              <w:rPr>
                <w:b/>
                <w:bCs/>
                <w:sz w:val="20"/>
                <w:szCs w:val="20"/>
              </w:rPr>
              <w:t xml:space="preserve"> (</w:t>
            </w:r>
            <w:r w:rsidR="002F7D11" w:rsidRPr="00EE6A85">
              <w:rPr>
                <w:sz w:val="23"/>
                <w:szCs w:val="23"/>
              </w:rPr>
              <w:t>BCROPC-323-24</w:t>
            </w:r>
            <w:r w:rsidR="002F7D11">
              <w:rPr>
                <w:sz w:val="23"/>
                <w:szCs w:val="23"/>
              </w:rPr>
              <w:t>)</w:t>
            </w:r>
            <w:r>
              <w:rPr>
                <w:sz w:val="20"/>
                <w:szCs w:val="20"/>
              </w:rPr>
              <w:t xml:space="preserve">: </w:t>
            </w:r>
            <w:r w:rsidR="00C12F0E" w:rsidRPr="00C12F0E">
              <w:rPr>
                <w:sz w:val="20"/>
                <w:szCs w:val="20"/>
              </w:rPr>
              <w:t xml:space="preserve">Sobre el transitorio referente a la entrada en vigor del inciso </w:t>
            </w:r>
            <w:proofErr w:type="spellStart"/>
            <w:r w:rsidR="00C12F0E" w:rsidRPr="00C12F0E">
              <w:rPr>
                <w:sz w:val="20"/>
                <w:szCs w:val="20"/>
              </w:rPr>
              <w:t>ii</w:t>
            </w:r>
            <w:proofErr w:type="spellEnd"/>
            <w:r w:rsidR="00C12F0E" w:rsidRPr="00C12F0E">
              <w:rPr>
                <w:sz w:val="20"/>
                <w:szCs w:val="20"/>
              </w:rPr>
              <w:t xml:space="preserve"> del artículo 2, según las estimaciones que se hemos realizado, el portafolio inicial de los fondos generacionales requerirá algunos ajustes importantes en la composición de los activos. De forma que nos parece adecuado el plazo de doce meses propuesto en la reforma.</w:t>
            </w:r>
          </w:p>
          <w:p w14:paraId="69A02D35" w14:textId="77777777" w:rsidR="00DB3375" w:rsidRDefault="00DB3375" w:rsidP="00D71E78">
            <w:pPr>
              <w:jc w:val="both"/>
              <w:rPr>
                <w:sz w:val="20"/>
                <w:szCs w:val="20"/>
              </w:rPr>
            </w:pPr>
          </w:p>
          <w:p w14:paraId="3ABB5E7C" w14:textId="77777777" w:rsidR="00BD0CEA" w:rsidRPr="001B1DD9" w:rsidRDefault="00BD0CEA" w:rsidP="00BD0CEA">
            <w:pPr>
              <w:jc w:val="both"/>
              <w:rPr>
                <w:rStyle w:val="normaltextrun"/>
                <w:color w:val="4471C4"/>
                <w:lang w:eastAsia="es-CR"/>
              </w:rPr>
            </w:pPr>
            <w:r w:rsidRPr="001B1DD9">
              <w:rPr>
                <w:rStyle w:val="normaltextrun"/>
                <w:color w:val="4471C4"/>
                <w:sz w:val="20"/>
                <w:szCs w:val="20"/>
                <w:lang w:eastAsia="es-CR"/>
              </w:rPr>
              <w:t>Respuesta: se toma nota.</w:t>
            </w:r>
          </w:p>
          <w:p w14:paraId="643E07BA" w14:textId="77777777" w:rsidR="00BD0CEA" w:rsidRDefault="00BD0CEA" w:rsidP="00D71E78">
            <w:pPr>
              <w:jc w:val="both"/>
              <w:rPr>
                <w:sz w:val="20"/>
                <w:szCs w:val="20"/>
              </w:rPr>
            </w:pPr>
          </w:p>
          <w:p w14:paraId="4B71963E" w14:textId="64047185" w:rsidR="00DB3375" w:rsidRDefault="000A60A2" w:rsidP="00D71E78">
            <w:pPr>
              <w:jc w:val="both"/>
              <w:rPr>
                <w:sz w:val="20"/>
                <w:szCs w:val="20"/>
              </w:rPr>
            </w:pPr>
            <w:r w:rsidRPr="000A60A2">
              <w:rPr>
                <w:b/>
                <w:bCs/>
                <w:sz w:val="20"/>
                <w:szCs w:val="20"/>
              </w:rPr>
              <w:t>Vida Plena</w:t>
            </w:r>
            <w:r w:rsidR="002F7D11">
              <w:rPr>
                <w:b/>
                <w:bCs/>
                <w:sz w:val="20"/>
                <w:szCs w:val="20"/>
              </w:rPr>
              <w:t xml:space="preserve"> (</w:t>
            </w:r>
            <w:r w:rsidR="002F7D11" w:rsidRPr="00E47FAC">
              <w:rPr>
                <w:sz w:val="23"/>
                <w:szCs w:val="23"/>
              </w:rPr>
              <w:t>GG-114-2024</w:t>
            </w:r>
            <w:r w:rsidR="002F7D11">
              <w:rPr>
                <w:sz w:val="23"/>
                <w:szCs w:val="23"/>
              </w:rPr>
              <w:t>)</w:t>
            </w:r>
            <w:r>
              <w:rPr>
                <w:sz w:val="20"/>
                <w:szCs w:val="20"/>
              </w:rPr>
              <w:t>: E</w:t>
            </w:r>
            <w:r w:rsidRPr="000A60A2">
              <w:rPr>
                <w:sz w:val="20"/>
                <w:szCs w:val="20"/>
              </w:rPr>
              <w:t xml:space="preserve">n relación con el transitorio de 12 meses para mantener la combinación de títulos representativos de propiedad y títulos de deuda, estimamos que el plazo podría resultar insuficiente, por lo que se reitera que por protección de </w:t>
            </w:r>
            <w:r w:rsidRPr="000A60A2">
              <w:rPr>
                <w:sz w:val="20"/>
                <w:szCs w:val="20"/>
              </w:rPr>
              <w:lastRenderedPageBreak/>
              <w:t>los intereses de los afiliados dadas las características del mercado bursátil local. Adicionalmente, podría entrar en conflicto con el 5% de desvío máximo dispuesto en el artículo 6 del SP-A-267, que como se indicó no sufre modificación.</w:t>
            </w:r>
          </w:p>
          <w:p w14:paraId="0C6FE1B9" w14:textId="77777777" w:rsidR="001B1DD9" w:rsidRDefault="001B1DD9" w:rsidP="00D71E78">
            <w:pPr>
              <w:jc w:val="both"/>
            </w:pPr>
          </w:p>
          <w:p w14:paraId="331B2409" w14:textId="02CAF9FC" w:rsidR="001B1DD9" w:rsidRPr="001B1DD9" w:rsidRDefault="001B1DD9" w:rsidP="00D71E78">
            <w:pPr>
              <w:jc w:val="both"/>
              <w:rPr>
                <w:rStyle w:val="normaltextrun"/>
                <w:color w:val="4471C4"/>
                <w:lang w:eastAsia="es-CR"/>
              </w:rPr>
            </w:pPr>
            <w:r w:rsidRPr="001B1DD9">
              <w:rPr>
                <w:rStyle w:val="normaltextrun"/>
                <w:color w:val="4471C4"/>
                <w:sz w:val="20"/>
                <w:szCs w:val="20"/>
                <w:lang w:eastAsia="es-CR"/>
              </w:rPr>
              <w:t>Respuesta: se toma nota.</w:t>
            </w:r>
          </w:p>
          <w:p w14:paraId="0A8E35DA" w14:textId="77777777" w:rsidR="00D858EB" w:rsidRDefault="00D858EB" w:rsidP="00D71E78">
            <w:pPr>
              <w:jc w:val="both"/>
              <w:rPr>
                <w:sz w:val="20"/>
                <w:szCs w:val="20"/>
              </w:rPr>
            </w:pPr>
          </w:p>
          <w:p w14:paraId="07EE4034" w14:textId="6A7572CE" w:rsidR="00D858EB" w:rsidRDefault="00C33A3F" w:rsidP="00D71E78">
            <w:pPr>
              <w:jc w:val="both"/>
              <w:rPr>
                <w:sz w:val="20"/>
                <w:szCs w:val="20"/>
              </w:rPr>
            </w:pPr>
            <w:r>
              <w:rPr>
                <w:b/>
                <w:bCs/>
                <w:sz w:val="20"/>
                <w:szCs w:val="20"/>
              </w:rPr>
              <w:t xml:space="preserve">OPC </w:t>
            </w:r>
            <w:r w:rsidRPr="002D2C6B">
              <w:rPr>
                <w:b/>
                <w:bCs/>
                <w:sz w:val="20"/>
                <w:szCs w:val="20"/>
              </w:rPr>
              <w:t>CCSS</w:t>
            </w:r>
            <w:r>
              <w:rPr>
                <w:b/>
                <w:bCs/>
                <w:sz w:val="20"/>
                <w:szCs w:val="20"/>
              </w:rPr>
              <w:t xml:space="preserve"> (</w:t>
            </w:r>
            <w:r w:rsidRPr="009D34F7">
              <w:rPr>
                <w:sz w:val="23"/>
                <w:szCs w:val="23"/>
              </w:rPr>
              <w:t>GG-287-2024</w:t>
            </w:r>
            <w:r>
              <w:rPr>
                <w:sz w:val="23"/>
                <w:szCs w:val="23"/>
              </w:rPr>
              <w:t>)</w:t>
            </w:r>
            <w:r w:rsidR="00D858EB">
              <w:rPr>
                <w:sz w:val="20"/>
                <w:szCs w:val="20"/>
              </w:rPr>
              <w:t xml:space="preserve">: </w:t>
            </w:r>
            <w:r w:rsidR="00D858EB" w:rsidRPr="00D858EB">
              <w:rPr>
                <w:sz w:val="20"/>
                <w:szCs w:val="20"/>
              </w:rPr>
              <w:t xml:space="preserve">En cuanto al plazo de 12 meses establecido en este transitorio para ajustarse al </w:t>
            </w:r>
            <w:proofErr w:type="spellStart"/>
            <w:r w:rsidR="00D858EB" w:rsidRPr="00D858EB">
              <w:rPr>
                <w:sz w:val="20"/>
                <w:szCs w:val="20"/>
              </w:rPr>
              <w:t>glidepath</w:t>
            </w:r>
            <w:proofErr w:type="spellEnd"/>
            <w:r w:rsidR="00D858EB" w:rsidRPr="00D858EB">
              <w:rPr>
                <w:sz w:val="20"/>
                <w:szCs w:val="20"/>
              </w:rPr>
              <w:t xml:space="preserve">, nuestra entidad prevé que podrían darse al menos dos escenarios que obligarían a una Operadora a realizar ajustes que podrían ocasionar afectación a los afiliados, uno, que el mercado esté con tendencias a la baja y se generen pérdidas, y, dos, enfrentar problemas de profundidad de mercado, por lo que recomendamos ampliar el plazo hasta 36 meses, o bien, que exista la posibilidad de que si una operadora no logra alcanzar el </w:t>
            </w:r>
            <w:proofErr w:type="spellStart"/>
            <w:r w:rsidR="00D858EB" w:rsidRPr="00D858EB">
              <w:rPr>
                <w:sz w:val="20"/>
                <w:szCs w:val="20"/>
              </w:rPr>
              <w:t>glidepath</w:t>
            </w:r>
            <w:proofErr w:type="spellEnd"/>
            <w:r w:rsidR="00D858EB" w:rsidRPr="00D858EB">
              <w:rPr>
                <w:sz w:val="20"/>
                <w:szCs w:val="20"/>
              </w:rPr>
              <w:t xml:space="preserve"> en el plazo definido en el transitorio, pueda solicitar más plazo a Supen, por medio de un Plan de Acción.</w:t>
            </w:r>
          </w:p>
          <w:p w14:paraId="45C2F016" w14:textId="77777777" w:rsidR="0073082C" w:rsidRDefault="0073082C" w:rsidP="00D71E78">
            <w:pPr>
              <w:jc w:val="both"/>
            </w:pPr>
          </w:p>
          <w:p w14:paraId="157C0CED" w14:textId="38595504" w:rsidR="0073082C" w:rsidRDefault="0073082C" w:rsidP="00D71E78">
            <w:pPr>
              <w:jc w:val="both"/>
              <w:rPr>
                <w:sz w:val="20"/>
                <w:szCs w:val="20"/>
              </w:rPr>
            </w:pPr>
            <w:r w:rsidRPr="0073082C">
              <w:rPr>
                <w:rStyle w:val="normaltextrun"/>
                <w:color w:val="4471C4"/>
                <w:sz w:val="20"/>
                <w:szCs w:val="20"/>
                <w:lang w:eastAsia="es-CR"/>
              </w:rPr>
              <w:t>Respuest</w:t>
            </w:r>
            <w:r w:rsidR="00D37CBA">
              <w:rPr>
                <w:rStyle w:val="normaltextrun"/>
                <w:color w:val="4471C4"/>
                <w:sz w:val="20"/>
                <w:szCs w:val="20"/>
                <w:lang w:eastAsia="es-CR"/>
              </w:rPr>
              <w:t>a: ver comentarios anteriores sobre el plazo, que, tomando en cuenta las dos fases conte</w:t>
            </w:r>
            <w:r w:rsidR="001B1DD9">
              <w:rPr>
                <w:rStyle w:val="normaltextrun"/>
                <w:color w:val="4471C4"/>
                <w:sz w:val="20"/>
                <w:szCs w:val="20"/>
                <w:lang w:eastAsia="es-CR"/>
              </w:rPr>
              <w:t>nidas, es de 33 meses.</w:t>
            </w:r>
          </w:p>
          <w:p w14:paraId="0D8A19A5" w14:textId="77777777" w:rsidR="009D615E" w:rsidRDefault="009D615E" w:rsidP="00D71E78">
            <w:pPr>
              <w:jc w:val="both"/>
              <w:rPr>
                <w:sz w:val="20"/>
                <w:szCs w:val="20"/>
              </w:rPr>
            </w:pPr>
          </w:p>
          <w:p w14:paraId="4227FBA8" w14:textId="32B62E76" w:rsidR="009D615E" w:rsidRDefault="009D615E" w:rsidP="00D71E78">
            <w:pPr>
              <w:jc w:val="both"/>
              <w:rPr>
                <w:sz w:val="20"/>
                <w:szCs w:val="20"/>
              </w:rPr>
            </w:pPr>
            <w:r w:rsidRPr="009D615E">
              <w:rPr>
                <w:b/>
                <w:bCs/>
                <w:sz w:val="20"/>
                <w:szCs w:val="20"/>
              </w:rPr>
              <w:t>ACOP</w:t>
            </w:r>
            <w:r w:rsidR="002F7D11">
              <w:rPr>
                <w:b/>
                <w:bCs/>
                <w:sz w:val="20"/>
                <w:szCs w:val="20"/>
              </w:rPr>
              <w:t xml:space="preserve"> (</w:t>
            </w:r>
            <w:r w:rsidR="002F7D11" w:rsidRPr="00855265">
              <w:rPr>
                <w:sz w:val="23"/>
                <w:szCs w:val="23"/>
              </w:rPr>
              <w:t>ACOP-037-2024</w:t>
            </w:r>
            <w:r w:rsidR="002F7D11">
              <w:rPr>
                <w:sz w:val="23"/>
                <w:szCs w:val="23"/>
              </w:rPr>
              <w:t>)</w:t>
            </w:r>
            <w:r>
              <w:rPr>
                <w:sz w:val="20"/>
                <w:szCs w:val="20"/>
              </w:rPr>
              <w:t xml:space="preserve">: </w:t>
            </w:r>
            <w:r w:rsidR="00E9328E" w:rsidRPr="00E9328E">
              <w:rPr>
                <w:sz w:val="20"/>
                <w:szCs w:val="20"/>
              </w:rPr>
              <w:t xml:space="preserve">En relación con la propuesta de extender a 12 meses la posibilidad de que las Operadoras ajusten la trayectoria de inversión como asignación óptima de activos, o ajuste de las inversiones de cada fondo generacional al </w:t>
            </w:r>
            <w:proofErr w:type="spellStart"/>
            <w:r w:rsidR="00E9328E" w:rsidRPr="00E9328E">
              <w:rPr>
                <w:sz w:val="20"/>
                <w:szCs w:val="20"/>
              </w:rPr>
              <w:t>glide</w:t>
            </w:r>
            <w:proofErr w:type="spellEnd"/>
            <w:r w:rsidR="00E9328E" w:rsidRPr="00E9328E">
              <w:rPr>
                <w:sz w:val="20"/>
                <w:szCs w:val="20"/>
              </w:rPr>
              <w:t xml:space="preserve"> </w:t>
            </w:r>
            <w:proofErr w:type="spellStart"/>
            <w:r w:rsidR="00E9328E" w:rsidRPr="00E9328E">
              <w:rPr>
                <w:sz w:val="20"/>
                <w:szCs w:val="20"/>
              </w:rPr>
              <w:t>path</w:t>
            </w:r>
            <w:proofErr w:type="spellEnd"/>
            <w:r w:rsidR="00E9328E" w:rsidRPr="00E9328E">
              <w:rPr>
                <w:sz w:val="20"/>
                <w:szCs w:val="20"/>
              </w:rPr>
              <w:t xml:space="preserve">, se solicita modificar dicho transitorio para permitir la posibilidad de extender el plazo de ajustes hasta 24 meses, cuando la Operadora demuestre que han ocurrido o están ocurriendo alguna de las siguientes situaciones: 1) el ajuste al </w:t>
            </w:r>
            <w:proofErr w:type="spellStart"/>
            <w:r w:rsidR="00E9328E" w:rsidRPr="00E9328E">
              <w:rPr>
                <w:sz w:val="20"/>
                <w:szCs w:val="20"/>
              </w:rPr>
              <w:t>glide</w:t>
            </w:r>
            <w:proofErr w:type="spellEnd"/>
            <w:r w:rsidR="00E9328E" w:rsidRPr="00E9328E">
              <w:rPr>
                <w:sz w:val="20"/>
                <w:szCs w:val="20"/>
              </w:rPr>
              <w:t xml:space="preserve"> </w:t>
            </w:r>
            <w:proofErr w:type="spellStart"/>
            <w:r w:rsidR="00E9328E" w:rsidRPr="00E9328E">
              <w:rPr>
                <w:sz w:val="20"/>
                <w:szCs w:val="20"/>
              </w:rPr>
              <w:t>path</w:t>
            </w:r>
            <w:proofErr w:type="spellEnd"/>
            <w:r w:rsidR="00E9328E" w:rsidRPr="00E9328E">
              <w:rPr>
                <w:sz w:val="20"/>
                <w:szCs w:val="20"/>
              </w:rPr>
              <w:t xml:space="preserve"> podría generar pérdidas de los fondos de los afiliados; 2) Impacto macroeconómico y trastornos en los macro precios; 3) o se deban alinear la asignación óptima de activos con mejores prácticas internacionales.</w:t>
            </w:r>
          </w:p>
          <w:p w14:paraId="16AE008E" w14:textId="13AB5DB5" w:rsidR="004B471E" w:rsidRDefault="004B471E" w:rsidP="00A26A27">
            <w:pPr>
              <w:jc w:val="both"/>
              <w:rPr>
                <w:b/>
                <w:bCs/>
                <w:i/>
                <w:iCs/>
                <w:sz w:val="20"/>
                <w:szCs w:val="20"/>
              </w:rPr>
            </w:pPr>
            <w:r w:rsidRPr="004B471E">
              <w:rPr>
                <w:sz w:val="20"/>
                <w:szCs w:val="20"/>
              </w:rPr>
              <w:t>Sugiere la siguiente redacción para el texto</w:t>
            </w:r>
            <w:r>
              <w:rPr>
                <w:sz w:val="20"/>
                <w:szCs w:val="20"/>
              </w:rPr>
              <w:t xml:space="preserve"> del tran</w:t>
            </w:r>
            <w:r w:rsidR="00A26A27">
              <w:rPr>
                <w:sz w:val="20"/>
                <w:szCs w:val="20"/>
              </w:rPr>
              <w:t>sitorio</w:t>
            </w:r>
            <w:r w:rsidRPr="004B471E">
              <w:rPr>
                <w:sz w:val="20"/>
                <w:szCs w:val="20"/>
              </w:rPr>
              <w:t>:</w:t>
            </w:r>
            <w:r w:rsidR="00A26A27">
              <w:rPr>
                <w:sz w:val="20"/>
                <w:szCs w:val="20"/>
              </w:rPr>
              <w:t xml:space="preserve"> </w:t>
            </w:r>
            <w:r w:rsidR="00A26A27" w:rsidRPr="00A26A27">
              <w:rPr>
                <w:i/>
                <w:iCs/>
                <w:sz w:val="20"/>
                <w:szCs w:val="20"/>
              </w:rPr>
              <w:t xml:space="preserve">“Transitorio. El inciso </w:t>
            </w:r>
            <w:proofErr w:type="spellStart"/>
            <w:r w:rsidR="00A26A27" w:rsidRPr="00A26A27">
              <w:rPr>
                <w:i/>
                <w:iCs/>
                <w:sz w:val="20"/>
                <w:szCs w:val="20"/>
              </w:rPr>
              <w:t>ii</w:t>
            </w:r>
            <w:proofErr w:type="spellEnd"/>
            <w:r w:rsidR="00A26A27" w:rsidRPr="00A26A27">
              <w:rPr>
                <w:i/>
                <w:iCs/>
                <w:sz w:val="20"/>
                <w:szCs w:val="20"/>
              </w:rPr>
              <w:t xml:space="preserve"> del artículo 2 de este acuerdo entrará en vigor doce meses después de la </w:t>
            </w:r>
            <w:r w:rsidR="00A26A27" w:rsidRPr="00A26A27">
              <w:rPr>
                <w:i/>
                <w:iCs/>
                <w:sz w:val="20"/>
                <w:szCs w:val="20"/>
              </w:rPr>
              <w:lastRenderedPageBreak/>
              <w:t xml:space="preserve">fecha de inicio de operación de los fondos generacionales. </w:t>
            </w:r>
            <w:r w:rsidR="00A26A27" w:rsidRPr="00A26A27">
              <w:rPr>
                <w:b/>
                <w:bCs/>
                <w:i/>
                <w:iCs/>
                <w:sz w:val="20"/>
                <w:szCs w:val="20"/>
              </w:rPr>
              <w:t>No obstante, ante una solicitud debidamente justificada por la Operadora de Pensiones, se podrá extender dicho plazo hasta por veinticuatro meses.”</w:t>
            </w:r>
          </w:p>
          <w:p w14:paraId="758E16CC" w14:textId="77777777" w:rsidR="00326A62" w:rsidRDefault="00326A62" w:rsidP="00A26A27">
            <w:pPr>
              <w:jc w:val="both"/>
              <w:rPr>
                <w:b/>
                <w:bCs/>
                <w:i/>
                <w:iCs/>
              </w:rPr>
            </w:pPr>
          </w:p>
          <w:p w14:paraId="0E57BF89" w14:textId="153D7AA5" w:rsidR="00326A62" w:rsidRPr="00326A62" w:rsidRDefault="00326A62" w:rsidP="00A26A27">
            <w:pPr>
              <w:jc w:val="both"/>
              <w:rPr>
                <w:color w:val="4471C4"/>
                <w:lang w:eastAsia="es-CR"/>
              </w:rPr>
            </w:pPr>
            <w:r w:rsidRPr="001B1DD9">
              <w:rPr>
                <w:rStyle w:val="normaltextrun"/>
                <w:color w:val="4471C4"/>
                <w:sz w:val="20"/>
                <w:szCs w:val="20"/>
                <w:lang w:eastAsia="es-CR"/>
              </w:rPr>
              <w:t>Respuesta: se toma nota</w:t>
            </w:r>
            <w:r>
              <w:rPr>
                <w:rStyle w:val="normaltextrun"/>
                <w:color w:val="4471C4"/>
                <w:sz w:val="20"/>
                <w:szCs w:val="20"/>
                <w:lang w:eastAsia="es-CR"/>
              </w:rPr>
              <w:t xml:space="preserve"> y se agrega que el proceso de im</w:t>
            </w:r>
            <w:r w:rsidR="00D16501">
              <w:rPr>
                <w:rStyle w:val="normaltextrun"/>
                <w:color w:val="4471C4"/>
                <w:sz w:val="20"/>
                <w:szCs w:val="20"/>
                <w:lang w:eastAsia="es-CR"/>
              </w:rPr>
              <w:t>plementación tiene y tendrá a l</w:t>
            </w:r>
            <w:r w:rsidR="00561572">
              <w:rPr>
                <w:rStyle w:val="normaltextrun"/>
                <w:color w:val="4471C4"/>
                <w:sz w:val="20"/>
                <w:szCs w:val="20"/>
                <w:lang w:eastAsia="es-CR"/>
              </w:rPr>
              <w:t>a supervisión velando por su adecuado avance.</w:t>
            </w:r>
          </w:p>
          <w:p w14:paraId="649CC1EC" w14:textId="77777777" w:rsidR="00D71E78" w:rsidRDefault="00D71E78" w:rsidP="002853CD">
            <w:pPr>
              <w:jc w:val="both"/>
              <w:rPr>
                <w:sz w:val="20"/>
                <w:szCs w:val="20"/>
              </w:rPr>
            </w:pPr>
          </w:p>
          <w:p w14:paraId="744E26FC" w14:textId="312B8838" w:rsidR="00F853DA" w:rsidRDefault="00F853DA" w:rsidP="00F853DA">
            <w:pPr>
              <w:pStyle w:val="paragraph"/>
              <w:spacing w:before="0" w:beforeAutospacing="0" w:after="0" w:afterAutospacing="0"/>
              <w:jc w:val="both"/>
              <w:textAlignment w:val="baseline"/>
              <w:rPr>
                <w:rFonts w:ascii="Segoe UI" w:hAnsi="Segoe UI" w:cs="Segoe UI"/>
                <w:sz w:val="18"/>
                <w:szCs w:val="18"/>
              </w:rPr>
            </w:pPr>
            <w:r>
              <w:rPr>
                <w:rStyle w:val="normaltextrun"/>
                <w:color w:val="4471C4"/>
                <w:sz w:val="20"/>
                <w:szCs w:val="20"/>
              </w:rPr>
              <w:t>Respuesta</w:t>
            </w:r>
            <w:r w:rsidR="00326A62">
              <w:rPr>
                <w:rStyle w:val="normaltextrun"/>
                <w:color w:val="4471C4"/>
                <w:sz w:val="20"/>
                <w:szCs w:val="20"/>
              </w:rPr>
              <w:t xml:space="preserve"> general</w:t>
            </w:r>
            <w:r w:rsidR="003369BC">
              <w:rPr>
                <w:rStyle w:val="normaltextrun"/>
                <w:color w:val="4471C4"/>
                <w:sz w:val="20"/>
                <w:szCs w:val="20"/>
              </w:rPr>
              <w:t>:</w:t>
            </w:r>
            <w:r>
              <w:rPr>
                <w:rStyle w:val="eop"/>
                <w:color w:val="4471C4"/>
                <w:sz w:val="20"/>
                <w:szCs w:val="20"/>
              </w:rPr>
              <w:t> </w:t>
            </w:r>
          </w:p>
          <w:p w14:paraId="61203D24" w14:textId="6A5E36DB" w:rsidR="0038798C" w:rsidRDefault="0038798C" w:rsidP="0038798C">
            <w:pPr>
              <w:pStyle w:val="paragraph"/>
              <w:spacing w:before="0" w:beforeAutospacing="0" w:after="0" w:afterAutospacing="0"/>
              <w:jc w:val="both"/>
              <w:textAlignment w:val="baseline"/>
              <w:rPr>
                <w:rStyle w:val="normaltextrun"/>
                <w:color w:val="4471C4"/>
                <w:sz w:val="20"/>
                <w:szCs w:val="20"/>
              </w:rPr>
            </w:pPr>
            <w:r>
              <w:rPr>
                <w:rStyle w:val="eop"/>
                <w:color w:val="4471C4"/>
                <w:sz w:val="20"/>
                <w:szCs w:val="20"/>
              </w:rPr>
              <w:t>Cálculos realizados por Supen, con apoyo de la información provista por el sector, sugieren la posibilidad de realizar ajustes a la trayectoria, que, dependiendo de diferentes supuestos (vencimientos, flujo de caja neto, disponibilidades, entre otros), pueden ser en plazos inferiores a los 12 meses. Esto, sin contar con el periodo de preparación de 15 meses otorgado en la reglamentación para el inicio en operación de los fondos generacionales, lo que da finalmente 33 meses en total, resultado cercano a los tres años mencionados</w:t>
            </w:r>
            <w:r w:rsidR="00B1417F">
              <w:rPr>
                <w:rStyle w:val="eop"/>
                <w:color w:val="4471C4"/>
                <w:sz w:val="20"/>
                <w:szCs w:val="20"/>
              </w:rPr>
              <w:t>.</w:t>
            </w:r>
          </w:p>
          <w:p w14:paraId="669418E6" w14:textId="77777777" w:rsidR="00DC3BD2" w:rsidRDefault="00DC3BD2" w:rsidP="00CC7444">
            <w:pPr>
              <w:pStyle w:val="paragraph"/>
              <w:spacing w:before="0" w:beforeAutospacing="0" w:after="0" w:afterAutospacing="0"/>
              <w:jc w:val="both"/>
              <w:textAlignment w:val="baseline"/>
              <w:rPr>
                <w:rStyle w:val="normaltextrun"/>
                <w:color w:val="4471C4"/>
                <w:sz w:val="20"/>
                <w:szCs w:val="20"/>
              </w:rPr>
            </w:pPr>
          </w:p>
          <w:p w14:paraId="14A37605" w14:textId="5A7AD87C" w:rsidR="00F853DA" w:rsidRDefault="000B2A46" w:rsidP="00CC7444">
            <w:pPr>
              <w:pStyle w:val="paragraph"/>
              <w:spacing w:before="0" w:beforeAutospacing="0" w:after="0" w:afterAutospacing="0"/>
              <w:jc w:val="both"/>
              <w:textAlignment w:val="baseline"/>
              <w:rPr>
                <w:rStyle w:val="eop"/>
                <w:color w:val="4471C4"/>
                <w:sz w:val="20"/>
                <w:szCs w:val="20"/>
              </w:rPr>
            </w:pPr>
            <w:r>
              <w:rPr>
                <w:rStyle w:val="normaltextrun"/>
                <w:color w:val="4471C4"/>
                <w:sz w:val="20"/>
                <w:szCs w:val="20"/>
              </w:rPr>
              <w:t xml:space="preserve">A pesar de lo anterior, con una visión prudencial y </w:t>
            </w:r>
            <w:r w:rsidR="00336499">
              <w:rPr>
                <w:rStyle w:val="normaltextrun"/>
                <w:color w:val="4471C4"/>
                <w:sz w:val="20"/>
                <w:szCs w:val="20"/>
              </w:rPr>
              <w:t xml:space="preserve">considerando que pueden existir </w:t>
            </w:r>
            <w:r w:rsidR="0010781B">
              <w:rPr>
                <w:rStyle w:val="normaltextrun"/>
                <w:color w:val="4471C4"/>
                <w:sz w:val="20"/>
                <w:szCs w:val="20"/>
              </w:rPr>
              <w:t>estrategias</w:t>
            </w:r>
            <w:r w:rsidR="00BE29BE">
              <w:rPr>
                <w:rStyle w:val="normaltextrun"/>
                <w:color w:val="4471C4"/>
                <w:sz w:val="20"/>
                <w:szCs w:val="20"/>
              </w:rPr>
              <w:t xml:space="preserve"> particulares</w:t>
            </w:r>
            <w:r w:rsidR="0010781B">
              <w:rPr>
                <w:rStyle w:val="normaltextrun"/>
                <w:color w:val="4471C4"/>
                <w:sz w:val="20"/>
                <w:szCs w:val="20"/>
              </w:rPr>
              <w:t xml:space="preserve"> </w:t>
            </w:r>
            <w:r w:rsidR="00591404">
              <w:rPr>
                <w:rStyle w:val="normaltextrun"/>
                <w:color w:val="4471C4"/>
                <w:sz w:val="20"/>
                <w:szCs w:val="20"/>
              </w:rPr>
              <w:t>para la implementación de los fondos generacionales</w:t>
            </w:r>
            <w:r w:rsidR="00492FCA">
              <w:rPr>
                <w:rStyle w:val="normaltextrun"/>
                <w:color w:val="4471C4"/>
                <w:sz w:val="20"/>
                <w:szCs w:val="20"/>
              </w:rPr>
              <w:t>,</w:t>
            </w:r>
            <w:r w:rsidR="00050CFF" w:rsidRPr="00B50468">
              <w:rPr>
                <w:rStyle w:val="normaltextrun"/>
                <w:color w:val="4471C4"/>
                <w:sz w:val="20"/>
                <w:szCs w:val="20"/>
              </w:rPr>
              <w:t xml:space="preserve"> </w:t>
            </w:r>
            <w:r w:rsidR="00492FCA">
              <w:rPr>
                <w:rStyle w:val="normaltextrun"/>
                <w:color w:val="4471C4"/>
                <w:sz w:val="20"/>
                <w:szCs w:val="20"/>
              </w:rPr>
              <w:t xml:space="preserve">es </w:t>
            </w:r>
            <w:r w:rsidR="00420BD3">
              <w:rPr>
                <w:rStyle w:val="normaltextrun"/>
                <w:color w:val="4471C4"/>
                <w:sz w:val="20"/>
                <w:szCs w:val="20"/>
              </w:rPr>
              <w:t>juicioso</w:t>
            </w:r>
            <w:r w:rsidR="00492FCA">
              <w:rPr>
                <w:rStyle w:val="normaltextrun"/>
                <w:color w:val="4471C4"/>
                <w:sz w:val="20"/>
                <w:szCs w:val="20"/>
              </w:rPr>
              <w:t xml:space="preserve"> ampliar</w:t>
            </w:r>
            <w:r w:rsidR="00050CFF" w:rsidRPr="00B50468">
              <w:rPr>
                <w:rStyle w:val="normaltextrun"/>
                <w:color w:val="4471C4"/>
                <w:sz w:val="20"/>
                <w:szCs w:val="20"/>
              </w:rPr>
              <w:t xml:space="preserve"> el plazo originalmente planteado</w:t>
            </w:r>
            <w:r w:rsidR="00F853DA">
              <w:rPr>
                <w:rStyle w:val="normaltextrun"/>
                <w:color w:val="4471C4"/>
                <w:sz w:val="20"/>
                <w:szCs w:val="20"/>
              </w:rPr>
              <w:t xml:space="preserve">. </w:t>
            </w:r>
          </w:p>
          <w:p w14:paraId="5E2E71A0" w14:textId="77777777" w:rsidR="00B1417F" w:rsidRDefault="00B1417F" w:rsidP="00CC7444">
            <w:pPr>
              <w:pStyle w:val="paragraph"/>
              <w:spacing w:before="0" w:beforeAutospacing="0" w:after="0" w:afterAutospacing="0"/>
              <w:jc w:val="both"/>
              <w:textAlignment w:val="baseline"/>
              <w:rPr>
                <w:rStyle w:val="eop"/>
                <w:color w:val="4471C4"/>
                <w:sz w:val="20"/>
                <w:szCs w:val="20"/>
              </w:rPr>
            </w:pPr>
          </w:p>
          <w:p w14:paraId="7B8FAC5C" w14:textId="32D60051" w:rsidR="00591404" w:rsidRPr="000D66D6" w:rsidRDefault="00B1417F" w:rsidP="00CC7444">
            <w:pPr>
              <w:pStyle w:val="paragraph"/>
              <w:spacing w:before="0" w:beforeAutospacing="0" w:after="0" w:afterAutospacing="0"/>
              <w:jc w:val="both"/>
              <w:textAlignment w:val="baseline"/>
              <w:rPr>
                <w:color w:val="4471C4"/>
                <w:sz w:val="20"/>
                <w:szCs w:val="20"/>
              </w:rPr>
            </w:pPr>
            <w:r>
              <w:rPr>
                <w:rStyle w:val="normaltextrun"/>
                <w:color w:val="4471C4"/>
                <w:sz w:val="20"/>
                <w:szCs w:val="20"/>
              </w:rPr>
              <w:t>Se aceptan parcialmente las recomendaciones de las entidades y se amplía el plazo de este transitorio hasta 18 meses</w:t>
            </w:r>
            <w:r w:rsidR="006D6DF4">
              <w:rPr>
                <w:rStyle w:val="normaltextrun"/>
                <w:color w:val="4471C4"/>
                <w:sz w:val="20"/>
                <w:szCs w:val="20"/>
              </w:rPr>
              <w:t>, sin dejar de notar que p</w:t>
            </w:r>
            <w:r w:rsidR="00591404">
              <w:rPr>
                <w:rStyle w:val="normaltextrun"/>
                <w:color w:val="4471C4"/>
                <w:sz w:val="20"/>
                <w:szCs w:val="20"/>
              </w:rPr>
              <w:t xml:space="preserve">lazos mayores </w:t>
            </w:r>
            <w:r w:rsidR="006D6DF4">
              <w:rPr>
                <w:rStyle w:val="normaltextrun"/>
                <w:color w:val="4471C4"/>
                <w:sz w:val="20"/>
                <w:szCs w:val="20"/>
              </w:rPr>
              <w:t xml:space="preserve">pueden </w:t>
            </w:r>
            <w:r w:rsidR="00591404">
              <w:rPr>
                <w:rStyle w:val="normaltextrun"/>
                <w:color w:val="4471C4"/>
                <w:sz w:val="20"/>
                <w:szCs w:val="20"/>
              </w:rPr>
              <w:t>dificulta</w:t>
            </w:r>
            <w:r w:rsidR="006D6DF4">
              <w:rPr>
                <w:rStyle w:val="normaltextrun"/>
                <w:color w:val="4471C4"/>
                <w:sz w:val="20"/>
                <w:szCs w:val="20"/>
              </w:rPr>
              <w:t>r</w:t>
            </w:r>
            <w:r w:rsidR="00591404">
              <w:rPr>
                <w:rStyle w:val="normaltextrun"/>
                <w:color w:val="4471C4"/>
                <w:sz w:val="20"/>
                <w:szCs w:val="20"/>
              </w:rPr>
              <w:t xml:space="preserve"> que los beneficios de la propuesta se materialicen en la gestión de ahorros de los trabajadores, </w:t>
            </w:r>
            <w:r w:rsidR="00FE55BC">
              <w:rPr>
                <w:rStyle w:val="normaltextrun"/>
                <w:color w:val="4471C4"/>
                <w:sz w:val="20"/>
                <w:szCs w:val="20"/>
              </w:rPr>
              <w:t xml:space="preserve">al no </w:t>
            </w:r>
            <w:r w:rsidR="00591404">
              <w:rPr>
                <w:rStyle w:val="normaltextrun"/>
                <w:color w:val="4471C4"/>
                <w:sz w:val="20"/>
                <w:szCs w:val="20"/>
              </w:rPr>
              <w:t xml:space="preserve">reducir </w:t>
            </w:r>
            <w:r w:rsidR="004339D6">
              <w:rPr>
                <w:rStyle w:val="normaltextrun"/>
                <w:color w:val="4471C4"/>
                <w:sz w:val="20"/>
                <w:szCs w:val="20"/>
              </w:rPr>
              <w:t>oportunamente</w:t>
            </w:r>
            <w:r w:rsidR="00591404">
              <w:rPr>
                <w:rStyle w:val="normaltextrun"/>
                <w:color w:val="4471C4"/>
                <w:sz w:val="20"/>
                <w:szCs w:val="20"/>
              </w:rPr>
              <w:t xml:space="preserve"> los niveles de riesgo </w:t>
            </w:r>
            <w:r w:rsidR="008042EF">
              <w:rPr>
                <w:rStyle w:val="normaltextrun"/>
                <w:color w:val="4471C4"/>
                <w:sz w:val="20"/>
                <w:szCs w:val="20"/>
              </w:rPr>
              <w:t>de los recursos gestionados.</w:t>
            </w:r>
            <w:r w:rsidR="00591404">
              <w:rPr>
                <w:rStyle w:val="eop"/>
                <w:color w:val="4471C4"/>
                <w:sz w:val="20"/>
                <w:szCs w:val="20"/>
              </w:rPr>
              <w:t> </w:t>
            </w:r>
          </w:p>
        </w:tc>
        <w:tc>
          <w:tcPr>
            <w:tcW w:w="1235" w:type="pct"/>
            <w:shd w:val="clear" w:color="auto" w:fill="FFFFFF" w:themeFill="background1"/>
          </w:tcPr>
          <w:p w14:paraId="19BDC19E" w14:textId="77777777" w:rsidR="00CD3A34" w:rsidRDefault="00CD3A34" w:rsidP="00CD3A34">
            <w:pPr>
              <w:pStyle w:val="paragraph"/>
              <w:spacing w:before="0" w:beforeAutospacing="0" w:after="0" w:afterAutospacing="0"/>
              <w:jc w:val="both"/>
              <w:textAlignment w:val="baseline"/>
              <w:rPr>
                <w:rFonts w:ascii="Segoe UI" w:hAnsi="Segoe UI" w:cs="Segoe UI"/>
                <w:sz w:val="18"/>
                <w:szCs w:val="18"/>
              </w:rPr>
            </w:pPr>
            <w:r>
              <w:rPr>
                <w:rStyle w:val="normaltextrun"/>
                <w:b/>
                <w:bCs/>
                <w:i/>
                <w:iCs/>
                <w:sz w:val="20"/>
                <w:szCs w:val="20"/>
              </w:rPr>
              <w:lastRenderedPageBreak/>
              <w:t>“Transitorio</w:t>
            </w:r>
            <w:r>
              <w:rPr>
                <w:rStyle w:val="eop"/>
                <w:sz w:val="20"/>
                <w:szCs w:val="20"/>
              </w:rPr>
              <w:t> </w:t>
            </w:r>
          </w:p>
          <w:p w14:paraId="1FB98F43" w14:textId="77777777" w:rsidR="00CD3A34" w:rsidRDefault="00CD3A34" w:rsidP="00CD3A34">
            <w:pPr>
              <w:pStyle w:val="paragraph"/>
              <w:spacing w:before="0" w:beforeAutospacing="0" w:after="0" w:afterAutospacing="0"/>
              <w:jc w:val="both"/>
              <w:textAlignment w:val="baseline"/>
              <w:rPr>
                <w:rFonts w:ascii="Segoe UI" w:hAnsi="Segoe UI" w:cs="Segoe UI"/>
                <w:sz w:val="18"/>
                <w:szCs w:val="18"/>
              </w:rPr>
            </w:pPr>
            <w:r>
              <w:rPr>
                <w:rStyle w:val="normaltextrun"/>
                <w:i/>
                <w:iCs/>
                <w:sz w:val="20"/>
                <w:szCs w:val="20"/>
              </w:rPr>
              <w:t xml:space="preserve">El inciso </w:t>
            </w:r>
            <w:proofErr w:type="spellStart"/>
            <w:r>
              <w:rPr>
                <w:rStyle w:val="normaltextrun"/>
                <w:i/>
                <w:iCs/>
                <w:sz w:val="20"/>
                <w:szCs w:val="20"/>
              </w:rPr>
              <w:t>ii</w:t>
            </w:r>
            <w:proofErr w:type="spellEnd"/>
            <w:r>
              <w:rPr>
                <w:rStyle w:val="normaltextrun"/>
                <w:i/>
                <w:iCs/>
                <w:sz w:val="20"/>
                <w:szCs w:val="20"/>
              </w:rPr>
              <w:t xml:space="preserve"> del artículo 2 de este acuerdo entrará en vigor </w:t>
            </w:r>
            <w:r>
              <w:rPr>
                <w:rStyle w:val="normaltextrun"/>
                <w:i/>
                <w:iCs/>
                <w:color w:val="4471C4"/>
                <w:sz w:val="20"/>
                <w:szCs w:val="20"/>
              </w:rPr>
              <w:t xml:space="preserve">dieciocho </w:t>
            </w:r>
            <w:r>
              <w:rPr>
                <w:rStyle w:val="normaltextrun"/>
                <w:i/>
                <w:iCs/>
                <w:sz w:val="20"/>
                <w:szCs w:val="20"/>
              </w:rPr>
              <w:t>meses después de la fecha de inicio de operación de los fondos generacionales.”</w:t>
            </w:r>
            <w:r>
              <w:rPr>
                <w:rStyle w:val="eop"/>
                <w:sz w:val="20"/>
                <w:szCs w:val="20"/>
              </w:rPr>
              <w:t> </w:t>
            </w:r>
          </w:p>
          <w:p w14:paraId="2CB9AE0B" w14:textId="77777777" w:rsidR="00CD3A34" w:rsidRDefault="00CD3A34" w:rsidP="00CD3A34">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48FA8D59" w14:textId="6A074B85" w:rsidR="00905F30" w:rsidRPr="00BD5D64" w:rsidRDefault="00905F30" w:rsidP="00530825">
            <w:pPr>
              <w:jc w:val="both"/>
              <w:rPr>
                <w:rFonts w:ascii="Arial" w:hAnsi="Arial" w:cs="Arial"/>
                <w:b/>
                <w:bCs/>
                <w:sz w:val="20"/>
                <w:szCs w:val="20"/>
              </w:rPr>
            </w:pPr>
          </w:p>
        </w:tc>
      </w:tr>
      <w:tr w:rsidR="00D858EB" w:rsidRPr="00BD5D64" w14:paraId="44AE8948" w14:textId="77777777" w:rsidTr="5D5FBA91">
        <w:trPr>
          <w:trHeight w:val="410"/>
        </w:trPr>
        <w:tc>
          <w:tcPr>
            <w:tcW w:w="1264" w:type="pct"/>
            <w:shd w:val="clear" w:color="auto" w:fill="B4C6E7" w:themeFill="accent1" w:themeFillTint="66"/>
          </w:tcPr>
          <w:p w14:paraId="05D61198" w14:textId="304762B6" w:rsidR="00D858EB" w:rsidRPr="00D858EB" w:rsidRDefault="00D858EB" w:rsidP="00D858EB">
            <w:pPr>
              <w:pStyle w:val="TableParagraph"/>
              <w:spacing w:before="120" w:after="120"/>
              <w:ind w:right="193"/>
              <w:jc w:val="center"/>
              <w:rPr>
                <w:b/>
                <w:color w:val="0C0C0C"/>
                <w:sz w:val="20"/>
                <w:szCs w:val="20"/>
              </w:rPr>
            </w:pPr>
            <w:r w:rsidRPr="00A17857">
              <w:rPr>
                <w:b/>
                <w:color w:val="0C0C0C"/>
                <w:sz w:val="20"/>
                <w:szCs w:val="20"/>
              </w:rPr>
              <w:lastRenderedPageBreak/>
              <w:t>TEXTO VIGENTE</w:t>
            </w:r>
          </w:p>
        </w:tc>
        <w:tc>
          <w:tcPr>
            <w:tcW w:w="1265" w:type="pct"/>
            <w:shd w:val="clear" w:color="auto" w:fill="B4C6E7" w:themeFill="accent1" w:themeFillTint="66"/>
          </w:tcPr>
          <w:p w14:paraId="006D9A49" w14:textId="3DA2A26E" w:rsidR="00D858EB" w:rsidRPr="00D858EB" w:rsidRDefault="00D858EB" w:rsidP="00D858EB">
            <w:pPr>
              <w:pStyle w:val="TableParagraph"/>
              <w:spacing w:before="120" w:after="120"/>
              <w:ind w:right="193"/>
              <w:jc w:val="center"/>
              <w:rPr>
                <w:b/>
                <w:color w:val="0C0C0C"/>
                <w:sz w:val="20"/>
                <w:szCs w:val="20"/>
              </w:rPr>
            </w:pPr>
            <w:r w:rsidRPr="00A17857">
              <w:rPr>
                <w:b/>
                <w:color w:val="0C0C0C"/>
                <w:sz w:val="20"/>
                <w:szCs w:val="20"/>
              </w:rPr>
              <w:t>TEXTO PROPUESTO</w:t>
            </w:r>
          </w:p>
        </w:tc>
        <w:tc>
          <w:tcPr>
            <w:tcW w:w="1236" w:type="pct"/>
            <w:shd w:val="clear" w:color="auto" w:fill="B4C6E7" w:themeFill="accent1" w:themeFillTint="66"/>
          </w:tcPr>
          <w:p w14:paraId="07C4A07D" w14:textId="0B7F0E8B" w:rsidR="00D858EB" w:rsidRPr="00D858EB" w:rsidRDefault="00D858EB" w:rsidP="00D858EB">
            <w:pPr>
              <w:pStyle w:val="TableParagraph"/>
              <w:spacing w:before="120" w:after="120"/>
              <w:ind w:left="0" w:right="193"/>
              <w:jc w:val="center"/>
              <w:rPr>
                <w:b/>
                <w:color w:val="0C0C0C"/>
                <w:sz w:val="20"/>
                <w:szCs w:val="20"/>
              </w:rPr>
            </w:pPr>
            <w:r>
              <w:rPr>
                <w:b/>
                <w:color w:val="0C0C0C"/>
                <w:sz w:val="20"/>
                <w:szCs w:val="20"/>
              </w:rPr>
              <w:t xml:space="preserve">OBSERVACIONES ADICIONALES AL </w:t>
            </w:r>
            <w:r w:rsidRPr="00A17857">
              <w:rPr>
                <w:b/>
                <w:color w:val="0C0C0C"/>
                <w:sz w:val="20"/>
                <w:szCs w:val="20"/>
              </w:rPr>
              <w:t>TEXTO PROPUESTO</w:t>
            </w:r>
          </w:p>
        </w:tc>
        <w:tc>
          <w:tcPr>
            <w:tcW w:w="1235" w:type="pct"/>
            <w:shd w:val="clear" w:color="auto" w:fill="B4C6E7" w:themeFill="accent1" w:themeFillTint="66"/>
          </w:tcPr>
          <w:p w14:paraId="1D4D9735" w14:textId="4996910C" w:rsidR="00D858EB" w:rsidRPr="00D858EB" w:rsidRDefault="00D858EB" w:rsidP="00D858EB">
            <w:pPr>
              <w:pStyle w:val="TableParagraph"/>
              <w:spacing w:before="120" w:after="120"/>
              <w:ind w:right="193"/>
              <w:jc w:val="center"/>
              <w:rPr>
                <w:b/>
                <w:color w:val="0C0C0C"/>
                <w:sz w:val="20"/>
                <w:szCs w:val="20"/>
              </w:rPr>
            </w:pPr>
            <w:r>
              <w:rPr>
                <w:b/>
                <w:color w:val="0C0C0C"/>
                <w:sz w:val="20"/>
                <w:szCs w:val="20"/>
              </w:rPr>
              <w:t>TEXTO FINAL</w:t>
            </w:r>
          </w:p>
        </w:tc>
      </w:tr>
      <w:tr w:rsidR="00D858EB" w:rsidRPr="00BD5D64" w14:paraId="4A2140B7" w14:textId="77777777" w:rsidTr="5D5FBA91">
        <w:trPr>
          <w:trHeight w:val="410"/>
        </w:trPr>
        <w:tc>
          <w:tcPr>
            <w:tcW w:w="1264" w:type="pct"/>
            <w:shd w:val="clear" w:color="auto" w:fill="FFFFFF" w:themeFill="background1"/>
          </w:tcPr>
          <w:p w14:paraId="7BCA6501" w14:textId="77777777" w:rsidR="00D858EB" w:rsidRPr="00A17857" w:rsidRDefault="00D858EB" w:rsidP="00D858EB">
            <w:pPr>
              <w:spacing w:line="276" w:lineRule="auto"/>
              <w:jc w:val="both"/>
              <w:rPr>
                <w:sz w:val="20"/>
                <w:szCs w:val="20"/>
              </w:rPr>
            </w:pPr>
          </w:p>
        </w:tc>
        <w:tc>
          <w:tcPr>
            <w:tcW w:w="1265" w:type="pct"/>
            <w:shd w:val="clear" w:color="auto" w:fill="FFFFFF" w:themeFill="background1"/>
          </w:tcPr>
          <w:p w14:paraId="1E91D459" w14:textId="77777777" w:rsidR="00D858EB" w:rsidRPr="00A17857" w:rsidRDefault="00D858EB" w:rsidP="00D858EB">
            <w:pPr>
              <w:jc w:val="both"/>
              <w:rPr>
                <w:b/>
                <w:bCs/>
                <w:i/>
                <w:iCs/>
                <w:sz w:val="20"/>
                <w:szCs w:val="20"/>
              </w:rPr>
            </w:pPr>
          </w:p>
        </w:tc>
        <w:tc>
          <w:tcPr>
            <w:tcW w:w="1236" w:type="pct"/>
            <w:shd w:val="clear" w:color="auto" w:fill="FFFFFF" w:themeFill="background1"/>
          </w:tcPr>
          <w:p w14:paraId="16E015B6" w14:textId="55BD4AC9" w:rsidR="00D858EB" w:rsidRDefault="00D858EB" w:rsidP="00D858EB">
            <w:pPr>
              <w:jc w:val="both"/>
              <w:rPr>
                <w:sz w:val="20"/>
                <w:szCs w:val="20"/>
              </w:rPr>
            </w:pPr>
            <w:r w:rsidRPr="00A17857">
              <w:rPr>
                <w:b/>
                <w:iCs/>
                <w:sz w:val="20"/>
                <w:szCs w:val="20"/>
              </w:rPr>
              <w:t>BN Vital</w:t>
            </w:r>
            <w:r w:rsidR="002F7D11">
              <w:rPr>
                <w:b/>
                <w:iCs/>
                <w:sz w:val="20"/>
                <w:szCs w:val="20"/>
              </w:rPr>
              <w:t xml:space="preserve"> (</w:t>
            </w:r>
            <w:r w:rsidR="002F7D11" w:rsidRPr="0017565C">
              <w:rPr>
                <w:sz w:val="23"/>
                <w:szCs w:val="23"/>
              </w:rPr>
              <w:t>BNVital-GG-286-2024</w:t>
            </w:r>
            <w:r w:rsidR="002F7D11">
              <w:rPr>
                <w:sz w:val="23"/>
                <w:szCs w:val="23"/>
              </w:rPr>
              <w:t>)</w:t>
            </w:r>
            <w:r w:rsidRPr="00A17857">
              <w:rPr>
                <w:b/>
                <w:iCs/>
                <w:sz w:val="20"/>
                <w:szCs w:val="20"/>
              </w:rPr>
              <w:t xml:space="preserve">: </w:t>
            </w:r>
            <w:r w:rsidRPr="00A17857">
              <w:rPr>
                <w:sz w:val="20"/>
                <w:szCs w:val="20"/>
              </w:rPr>
              <w:t xml:space="preserve">Nos parece importante valorar la suspensión del derecho que permite ejercer libre transferencia para los afiliados que son parte del FGA, al menos para ese primer periodo de ajuste. Lo anterior porque existe una posibilidad que se presente un escenario que afecte en mayor porcentaje los límites declarados en cada OPC, en vista de que hay </w:t>
            </w:r>
            <w:r w:rsidRPr="00A17857">
              <w:rPr>
                <w:sz w:val="20"/>
                <w:szCs w:val="20"/>
              </w:rPr>
              <w:lastRenderedPageBreak/>
              <w:t>muchos factores en esta primera fase que pueden influir en el indicador de la desviación de trayectoria.</w:t>
            </w:r>
          </w:p>
          <w:p w14:paraId="51F8E158" w14:textId="76AA6832" w:rsidR="00276B52" w:rsidRDefault="00276B52" w:rsidP="00276B52">
            <w:pPr>
              <w:pStyle w:val="paragraph"/>
              <w:spacing w:before="0" w:beforeAutospacing="0" w:after="0" w:afterAutospacing="0"/>
              <w:jc w:val="both"/>
              <w:textAlignment w:val="baseline"/>
              <w:rPr>
                <w:rFonts w:ascii="Segoe UI" w:hAnsi="Segoe UI" w:cs="Segoe UI"/>
                <w:sz w:val="18"/>
                <w:szCs w:val="18"/>
              </w:rPr>
            </w:pPr>
          </w:p>
          <w:p w14:paraId="53E9C41C" w14:textId="77777777" w:rsidR="00276B52" w:rsidRDefault="00276B52" w:rsidP="00276B52">
            <w:pPr>
              <w:pStyle w:val="paragraph"/>
              <w:spacing w:before="0" w:beforeAutospacing="0" w:after="0" w:afterAutospacing="0"/>
              <w:jc w:val="both"/>
              <w:textAlignment w:val="baseline"/>
              <w:rPr>
                <w:rFonts w:ascii="Segoe UI" w:hAnsi="Segoe UI" w:cs="Segoe UI"/>
                <w:sz w:val="18"/>
                <w:szCs w:val="18"/>
              </w:rPr>
            </w:pPr>
            <w:r>
              <w:rPr>
                <w:rStyle w:val="normaltextrun"/>
                <w:color w:val="4471C4"/>
                <w:sz w:val="20"/>
                <w:szCs w:val="20"/>
              </w:rPr>
              <w:t>Respuesta:</w:t>
            </w:r>
            <w:r>
              <w:rPr>
                <w:rStyle w:val="eop"/>
                <w:rFonts w:eastAsia="Arial"/>
                <w:color w:val="4471C4"/>
                <w:sz w:val="20"/>
                <w:szCs w:val="20"/>
              </w:rPr>
              <w:t> </w:t>
            </w:r>
          </w:p>
          <w:p w14:paraId="5B8C0CE8" w14:textId="70DAA4B3" w:rsidR="00276B52" w:rsidRPr="005027B0" w:rsidRDefault="00105BAC" w:rsidP="005027B0">
            <w:pPr>
              <w:pStyle w:val="paragraph"/>
              <w:spacing w:before="0" w:beforeAutospacing="0" w:after="0" w:afterAutospacing="0"/>
              <w:jc w:val="both"/>
              <w:textAlignment w:val="baseline"/>
              <w:rPr>
                <w:rFonts w:ascii="Segoe UI" w:hAnsi="Segoe UI" w:cs="Segoe UI"/>
                <w:sz w:val="18"/>
                <w:szCs w:val="18"/>
              </w:rPr>
            </w:pPr>
            <w:r>
              <w:rPr>
                <w:rStyle w:val="normaltextrun"/>
                <w:color w:val="4471C4"/>
                <w:sz w:val="20"/>
                <w:szCs w:val="20"/>
              </w:rPr>
              <w:t>Lo indicado no forma parte del objet</w:t>
            </w:r>
            <w:r w:rsidR="009B1344">
              <w:rPr>
                <w:rStyle w:val="normaltextrun"/>
                <w:color w:val="4471C4"/>
                <w:sz w:val="20"/>
                <w:szCs w:val="20"/>
              </w:rPr>
              <w:t>o de la consulta. No obstante,</w:t>
            </w:r>
            <w:r w:rsidR="00276B52">
              <w:rPr>
                <w:rStyle w:val="normaltextrun"/>
                <w:color w:val="4471C4"/>
                <w:sz w:val="20"/>
                <w:szCs w:val="20"/>
              </w:rPr>
              <w:t xml:space="preserve"> se toma nota.</w:t>
            </w:r>
            <w:r w:rsidR="00276B52">
              <w:rPr>
                <w:rStyle w:val="eop"/>
                <w:rFonts w:eastAsia="Arial"/>
                <w:color w:val="4471C4"/>
                <w:sz w:val="20"/>
                <w:szCs w:val="20"/>
              </w:rPr>
              <w:t> </w:t>
            </w:r>
          </w:p>
        </w:tc>
        <w:tc>
          <w:tcPr>
            <w:tcW w:w="1235" w:type="pct"/>
            <w:shd w:val="clear" w:color="auto" w:fill="FFFFFF" w:themeFill="background1"/>
          </w:tcPr>
          <w:p w14:paraId="26D8116D" w14:textId="77777777" w:rsidR="00D858EB" w:rsidRPr="00BD5D64" w:rsidRDefault="00D858EB" w:rsidP="00D858EB">
            <w:pPr>
              <w:jc w:val="both"/>
              <w:rPr>
                <w:rFonts w:ascii="Arial" w:hAnsi="Arial" w:cs="Arial"/>
                <w:b/>
                <w:bCs/>
                <w:sz w:val="20"/>
                <w:szCs w:val="20"/>
              </w:rPr>
            </w:pPr>
          </w:p>
        </w:tc>
      </w:tr>
      <w:tr w:rsidR="00D858EB" w:rsidRPr="00BD5D64" w14:paraId="55A2D9CD" w14:textId="77777777" w:rsidTr="5D5FBA91">
        <w:trPr>
          <w:trHeight w:val="410"/>
        </w:trPr>
        <w:tc>
          <w:tcPr>
            <w:tcW w:w="1264" w:type="pct"/>
            <w:shd w:val="clear" w:color="auto" w:fill="FFFFFF" w:themeFill="background1"/>
          </w:tcPr>
          <w:p w14:paraId="17A5F663" w14:textId="77777777" w:rsidR="00D858EB" w:rsidRPr="00A17857" w:rsidRDefault="00D858EB" w:rsidP="00D858EB">
            <w:pPr>
              <w:spacing w:line="276" w:lineRule="auto"/>
              <w:jc w:val="both"/>
              <w:rPr>
                <w:sz w:val="20"/>
                <w:szCs w:val="20"/>
              </w:rPr>
            </w:pPr>
          </w:p>
        </w:tc>
        <w:tc>
          <w:tcPr>
            <w:tcW w:w="1265" w:type="pct"/>
            <w:shd w:val="clear" w:color="auto" w:fill="FFFFFF" w:themeFill="background1"/>
          </w:tcPr>
          <w:p w14:paraId="54E9E1E5" w14:textId="77777777" w:rsidR="00D858EB" w:rsidRPr="00A17857" w:rsidRDefault="00D858EB" w:rsidP="00D858EB">
            <w:pPr>
              <w:jc w:val="both"/>
              <w:rPr>
                <w:b/>
                <w:bCs/>
                <w:i/>
                <w:iCs/>
                <w:sz w:val="20"/>
                <w:szCs w:val="20"/>
              </w:rPr>
            </w:pPr>
          </w:p>
        </w:tc>
        <w:tc>
          <w:tcPr>
            <w:tcW w:w="1236" w:type="pct"/>
            <w:shd w:val="clear" w:color="auto" w:fill="FFFFFF" w:themeFill="background1"/>
          </w:tcPr>
          <w:p w14:paraId="704BA7A9" w14:textId="61E3507A" w:rsidR="00D858EB" w:rsidRDefault="00D858EB" w:rsidP="00D858EB">
            <w:pPr>
              <w:jc w:val="both"/>
              <w:rPr>
                <w:bCs/>
                <w:iCs/>
                <w:sz w:val="20"/>
                <w:szCs w:val="20"/>
              </w:rPr>
            </w:pPr>
            <w:r>
              <w:rPr>
                <w:b/>
                <w:iCs/>
                <w:sz w:val="20"/>
                <w:szCs w:val="20"/>
              </w:rPr>
              <w:t>Vida Plena</w:t>
            </w:r>
            <w:r w:rsidR="002F7D11">
              <w:rPr>
                <w:b/>
                <w:iCs/>
                <w:sz w:val="20"/>
                <w:szCs w:val="20"/>
              </w:rPr>
              <w:t xml:space="preserve"> (</w:t>
            </w:r>
            <w:r w:rsidR="002F7D11" w:rsidRPr="00E47FAC">
              <w:rPr>
                <w:sz w:val="23"/>
                <w:szCs w:val="23"/>
              </w:rPr>
              <w:t>GG-114-2024</w:t>
            </w:r>
            <w:r w:rsidR="002F7D11">
              <w:rPr>
                <w:sz w:val="23"/>
                <w:szCs w:val="23"/>
              </w:rPr>
              <w:t>)</w:t>
            </w:r>
            <w:r>
              <w:rPr>
                <w:b/>
                <w:iCs/>
                <w:sz w:val="20"/>
                <w:szCs w:val="20"/>
              </w:rPr>
              <w:t xml:space="preserve">: </w:t>
            </w:r>
            <w:r w:rsidRPr="00F82DFD">
              <w:rPr>
                <w:bCs/>
                <w:iCs/>
                <w:sz w:val="20"/>
                <w:szCs w:val="20"/>
              </w:rPr>
              <w:t>Es necesario recordar que nos encontramos realizando ejercicios de optimización, asignación de activos por generación, calce de plazos entre activos y flujos de efectivo, etc., según el cronograma suministrado por Vida Plena y al cual ha venido dando seguimiento la Superintendencia, según se indica en el Considerando 11 de esta propuesta de modificación. En otras, palabras nos enfrentamos a un cambio inédito en la gestión del fondo ROP que se encuentra en etapas preparatorias con lo cual brindar observaciones resulta prematuro. En ese sentido, consideramos que los procesos de transición deben reconocer métricas y controles más flexibles para ir ajustándolos gradualmente a través del tiempo.</w:t>
            </w:r>
          </w:p>
          <w:p w14:paraId="7DB14770" w14:textId="77777777" w:rsidR="00E141C5" w:rsidRDefault="00E141C5" w:rsidP="00D858EB">
            <w:pPr>
              <w:jc w:val="both"/>
              <w:rPr>
                <w:b/>
                <w:iCs/>
                <w:sz w:val="20"/>
                <w:szCs w:val="20"/>
              </w:rPr>
            </w:pPr>
          </w:p>
          <w:p w14:paraId="055F7F5D" w14:textId="458FE20D" w:rsidR="00C14735" w:rsidRDefault="00C14735" w:rsidP="00C14735">
            <w:pPr>
              <w:pStyle w:val="paragraph"/>
              <w:spacing w:before="0" w:beforeAutospacing="0" w:after="0" w:afterAutospacing="0"/>
              <w:jc w:val="both"/>
              <w:textAlignment w:val="baseline"/>
              <w:rPr>
                <w:rFonts w:ascii="Segoe UI" w:hAnsi="Segoe UI" w:cs="Segoe UI"/>
                <w:sz w:val="18"/>
                <w:szCs w:val="18"/>
              </w:rPr>
            </w:pPr>
            <w:r>
              <w:rPr>
                <w:rStyle w:val="normaltextrun"/>
                <w:color w:val="4471C4"/>
                <w:sz w:val="20"/>
                <w:szCs w:val="20"/>
              </w:rPr>
              <w:t>Respuesta</w:t>
            </w:r>
            <w:r w:rsidR="008578D8">
              <w:rPr>
                <w:rStyle w:val="normaltextrun"/>
                <w:color w:val="4471C4"/>
                <w:sz w:val="20"/>
                <w:szCs w:val="20"/>
              </w:rPr>
              <w:t>:</w:t>
            </w:r>
            <w:r>
              <w:rPr>
                <w:rStyle w:val="eop"/>
                <w:color w:val="4471C4"/>
                <w:sz w:val="20"/>
                <w:szCs w:val="20"/>
              </w:rPr>
              <w:t> </w:t>
            </w:r>
          </w:p>
          <w:p w14:paraId="2B8BF54B" w14:textId="216E3524" w:rsidR="00C14735" w:rsidRPr="00F44F7C" w:rsidRDefault="00C14735" w:rsidP="00F44F7C">
            <w:pPr>
              <w:pStyle w:val="paragraph"/>
              <w:spacing w:before="0" w:beforeAutospacing="0" w:after="0" w:afterAutospacing="0"/>
              <w:jc w:val="both"/>
              <w:textAlignment w:val="baseline"/>
              <w:rPr>
                <w:rFonts w:ascii="Segoe UI" w:hAnsi="Segoe UI" w:cs="Segoe UI"/>
                <w:sz w:val="18"/>
                <w:szCs w:val="18"/>
              </w:rPr>
            </w:pPr>
            <w:r>
              <w:rPr>
                <w:rStyle w:val="normaltextrun"/>
                <w:color w:val="4471C4"/>
                <w:sz w:val="20"/>
                <w:szCs w:val="20"/>
              </w:rPr>
              <w:t>El comentario está alineado al objetivo de la modificación al acuerdo que ha sido propuesto.</w:t>
            </w:r>
            <w:r>
              <w:rPr>
                <w:rStyle w:val="eop"/>
                <w:color w:val="4471C4"/>
                <w:sz w:val="20"/>
                <w:szCs w:val="20"/>
              </w:rPr>
              <w:t> </w:t>
            </w:r>
            <w:r w:rsidR="001D405D">
              <w:rPr>
                <w:rStyle w:val="eop"/>
                <w:color w:val="4471C4"/>
                <w:sz w:val="20"/>
                <w:szCs w:val="20"/>
              </w:rPr>
              <w:t>Se toma nota.</w:t>
            </w:r>
          </w:p>
        </w:tc>
        <w:tc>
          <w:tcPr>
            <w:tcW w:w="1235" w:type="pct"/>
            <w:shd w:val="clear" w:color="auto" w:fill="FFFFFF" w:themeFill="background1"/>
          </w:tcPr>
          <w:p w14:paraId="334E15B0" w14:textId="77777777" w:rsidR="00D858EB" w:rsidRPr="00BD5D64" w:rsidRDefault="00D858EB" w:rsidP="00D858EB">
            <w:pPr>
              <w:jc w:val="both"/>
              <w:rPr>
                <w:rFonts w:ascii="Arial" w:hAnsi="Arial" w:cs="Arial"/>
                <w:b/>
                <w:bCs/>
                <w:sz w:val="20"/>
                <w:szCs w:val="20"/>
              </w:rPr>
            </w:pPr>
          </w:p>
        </w:tc>
      </w:tr>
      <w:tr w:rsidR="00E254C5" w:rsidRPr="00BD5D64" w14:paraId="78B231C7" w14:textId="77777777" w:rsidTr="5D5FBA91">
        <w:trPr>
          <w:trHeight w:val="410"/>
        </w:trPr>
        <w:tc>
          <w:tcPr>
            <w:tcW w:w="1264" w:type="pct"/>
            <w:shd w:val="clear" w:color="auto" w:fill="FFFFFF" w:themeFill="background1"/>
          </w:tcPr>
          <w:p w14:paraId="4226F8FF" w14:textId="77777777" w:rsidR="00E254C5" w:rsidRPr="00A17857" w:rsidRDefault="00E254C5" w:rsidP="00D858EB">
            <w:pPr>
              <w:spacing w:line="276" w:lineRule="auto"/>
              <w:jc w:val="both"/>
              <w:rPr>
                <w:sz w:val="20"/>
                <w:szCs w:val="20"/>
              </w:rPr>
            </w:pPr>
          </w:p>
        </w:tc>
        <w:tc>
          <w:tcPr>
            <w:tcW w:w="1265" w:type="pct"/>
            <w:shd w:val="clear" w:color="auto" w:fill="FFFFFF" w:themeFill="background1"/>
          </w:tcPr>
          <w:p w14:paraId="6C2B210E" w14:textId="77777777" w:rsidR="00E254C5" w:rsidRPr="00A17857" w:rsidRDefault="00E254C5" w:rsidP="00D858EB">
            <w:pPr>
              <w:jc w:val="both"/>
              <w:rPr>
                <w:b/>
                <w:bCs/>
                <w:i/>
                <w:iCs/>
                <w:sz w:val="20"/>
                <w:szCs w:val="20"/>
              </w:rPr>
            </w:pPr>
          </w:p>
        </w:tc>
        <w:tc>
          <w:tcPr>
            <w:tcW w:w="1236" w:type="pct"/>
            <w:shd w:val="clear" w:color="auto" w:fill="FFFFFF" w:themeFill="background1"/>
          </w:tcPr>
          <w:p w14:paraId="78AB946B" w14:textId="149263E0" w:rsidR="00322869" w:rsidRDefault="00E254C5" w:rsidP="00322869">
            <w:pPr>
              <w:jc w:val="both"/>
              <w:rPr>
                <w:bCs/>
                <w:iCs/>
                <w:sz w:val="20"/>
                <w:szCs w:val="20"/>
              </w:rPr>
            </w:pPr>
            <w:r>
              <w:rPr>
                <w:b/>
                <w:iCs/>
                <w:sz w:val="20"/>
                <w:szCs w:val="20"/>
              </w:rPr>
              <w:t>ACOP</w:t>
            </w:r>
            <w:r w:rsidR="002F7D11">
              <w:rPr>
                <w:b/>
                <w:iCs/>
                <w:sz w:val="20"/>
                <w:szCs w:val="20"/>
              </w:rPr>
              <w:t xml:space="preserve"> (</w:t>
            </w:r>
            <w:r w:rsidR="002F7D11" w:rsidRPr="00855265">
              <w:rPr>
                <w:sz w:val="23"/>
                <w:szCs w:val="23"/>
              </w:rPr>
              <w:t>ACOP-037-2024</w:t>
            </w:r>
            <w:r w:rsidR="002F7D11">
              <w:rPr>
                <w:sz w:val="23"/>
                <w:szCs w:val="23"/>
              </w:rPr>
              <w:t>)</w:t>
            </w:r>
            <w:r>
              <w:rPr>
                <w:b/>
                <w:iCs/>
                <w:sz w:val="20"/>
                <w:szCs w:val="20"/>
              </w:rPr>
              <w:t xml:space="preserve">: </w:t>
            </w:r>
            <w:r w:rsidR="00322869" w:rsidRPr="00322869">
              <w:rPr>
                <w:bCs/>
                <w:iCs/>
                <w:sz w:val="20"/>
                <w:szCs w:val="20"/>
              </w:rPr>
              <w:t>Las reformas propuestas en los artículos 4, 6 y 8 muestran una falta de claridad conceptual y eventualmente hace una mezcla indebida de términos que podrían generar confusión en la aplicación práctica que hagan las Operadoras del oficio SP-A-267-2024.</w:t>
            </w:r>
          </w:p>
          <w:p w14:paraId="328B8F9A" w14:textId="77777777" w:rsidR="00A81D67" w:rsidRDefault="00A81D67" w:rsidP="00322869">
            <w:pPr>
              <w:jc w:val="both"/>
              <w:rPr>
                <w:bCs/>
                <w:iCs/>
              </w:rPr>
            </w:pPr>
          </w:p>
          <w:p w14:paraId="07A70CE7" w14:textId="77777777" w:rsidR="00A81D67" w:rsidRDefault="00A81D67" w:rsidP="00A81D67">
            <w:pPr>
              <w:pStyle w:val="paragraph"/>
              <w:spacing w:before="0" w:beforeAutospacing="0" w:after="0" w:afterAutospacing="0"/>
              <w:jc w:val="both"/>
              <w:textAlignment w:val="baseline"/>
              <w:rPr>
                <w:rFonts w:ascii="Segoe UI" w:hAnsi="Segoe UI" w:cs="Segoe UI"/>
                <w:sz w:val="18"/>
                <w:szCs w:val="18"/>
              </w:rPr>
            </w:pPr>
            <w:r>
              <w:rPr>
                <w:rStyle w:val="normaltextrun"/>
                <w:color w:val="4471C4"/>
                <w:sz w:val="20"/>
                <w:szCs w:val="20"/>
              </w:rPr>
              <w:t>Respuesta:</w:t>
            </w:r>
            <w:r>
              <w:rPr>
                <w:rStyle w:val="eop"/>
                <w:color w:val="4471C4"/>
                <w:sz w:val="20"/>
                <w:szCs w:val="20"/>
              </w:rPr>
              <w:t> </w:t>
            </w:r>
          </w:p>
          <w:p w14:paraId="27C2E9C1" w14:textId="4D60BBB7" w:rsidR="00BE3AA1" w:rsidRPr="00671604" w:rsidRDefault="00DE50AF" w:rsidP="00BE3AA1">
            <w:pPr>
              <w:pStyle w:val="paragraph"/>
              <w:spacing w:before="0" w:beforeAutospacing="0" w:after="0" w:afterAutospacing="0"/>
              <w:jc w:val="both"/>
              <w:textAlignment w:val="baseline"/>
              <w:rPr>
                <w:color w:val="4471C4"/>
                <w:sz w:val="20"/>
                <w:szCs w:val="20"/>
              </w:rPr>
            </w:pPr>
            <w:r>
              <w:rPr>
                <w:rStyle w:val="normaltextrun"/>
                <w:color w:val="4471C4"/>
                <w:sz w:val="20"/>
                <w:szCs w:val="20"/>
              </w:rPr>
              <w:t xml:space="preserve">No se acepta. </w:t>
            </w:r>
            <w:r w:rsidR="00BE3AA1">
              <w:rPr>
                <w:rStyle w:val="normaltextrun"/>
                <w:color w:val="4471C4"/>
                <w:sz w:val="20"/>
                <w:szCs w:val="20"/>
              </w:rPr>
              <w:t>E</w:t>
            </w:r>
            <w:r w:rsidR="00BE3AA1" w:rsidRPr="00AE6DC6">
              <w:rPr>
                <w:rStyle w:val="normaltextrun"/>
                <w:color w:val="4471C4"/>
                <w:sz w:val="20"/>
                <w:szCs w:val="20"/>
              </w:rPr>
              <w:t xml:space="preserve">l texto propuesto mantiene </w:t>
            </w:r>
            <w:r w:rsidR="00671604">
              <w:rPr>
                <w:rStyle w:val="normaltextrun"/>
                <w:color w:val="4471C4"/>
                <w:sz w:val="20"/>
                <w:szCs w:val="20"/>
              </w:rPr>
              <w:t xml:space="preserve">la </w:t>
            </w:r>
            <w:r w:rsidR="00BE3AA1" w:rsidRPr="00AE6DC6">
              <w:rPr>
                <w:rStyle w:val="normaltextrun"/>
                <w:color w:val="4471C4"/>
                <w:sz w:val="20"/>
                <w:szCs w:val="20"/>
              </w:rPr>
              <w:t xml:space="preserve">alineación de conceptos con respecto a la reglamentación aprobada </w:t>
            </w:r>
            <w:r w:rsidR="00BE3AA1">
              <w:rPr>
                <w:rStyle w:val="normaltextrun"/>
                <w:color w:val="4471C4"/>
                <w:sz w:val="20"/>
                <w:szCs w:val="20"/>
              </w:rPr>
              <w:t>y busca implementar el concepto normativo de desviaciones en la trayectoria.</w:t>
            </w:r>
            <w:r w:rsidR="00671604">
              <w:rPr>
                <w:rStyle w:val="normaltextrun"/>
                <w:color w:val="4471C4"/>
                <w:sz w:val="20"/>
                <w:szCs w:val="20"/>
              </w:rPr>
              <w:t xml:space="preserve"> Adicionalmente, como se indicó en la atención de comentarios anteriores</w:t>
            </w:r>
            <w:r w:rsidR="00685BFE">
              <w:rPr>
                <w:rStyle w:val="normaltextrun"/>
                <w:color w:val="4471C4"/>
                <w:sz w:val="20"/>
                <w:szCs w:val="20"/>
              </w:rPr>
              <w:t>,</w:t>
            </w:r>
            <w:r w:rsidR="00671604">
              <w:rPr>
                <w:rStyle w:val="normaltextrun"/>
                <w:color w:val="4471C4"/>
                <w:sz w:val="20"/>
                <w:szCs w:val="20"/>
              </w:rPr>
              <w:t xml:space="preserve"> a</w:t>
            </w:r>
            <w:r w:rsidR="00BE3AA1">
              <w:rPr>
                <w:rStyle w:val="normaltextrun"/>
                <w:color w:val="4471C4"/>
                <w:sz w:val="20"/>
                <w:szCs w:val="20"/>
              </w:rPr>
              <w:t>bordajes más cuantitativos del desvío de la trayectoria requieren de la recopilación de datos históricos sobr</w:t>
            </w:r>
            <w:r w:rsidR="00BE3AA1" w:rsidRPr="009239A0">
              <w:rPr>
                <w:rStyle w:val="normaltextrun"/>
                <w:color w:val="4471C4"/>
                <w:sz w:val="20"/>
                <w:szCs w:val="20"/>
              </w:rPr>
              <w:t xml:space="preserve">e </w:t>
            </w:r>
            <w:r w:rsidR="00BE3AA1">
              <w:rPr>
                <w:rStyle w:val="normaltextrun"/>
                <w:color w:val="4471C4"/>
                <w:sz w:val="20"/>
                <w:szCs w:val="20"/>
              </w:rPr>
              <w:t>el comportamiento</w:t>
            </w:r>
            <w:r w:rsidR="00BE3AA1" w:rsidRPr="009239A0">
              <w:rPr>
                <w:rStyle w:val="normaltextrun"/>
                <w:color w:val="4471C4"/>
                <w:sz w:val="20"/>
                <w:szCs w:val="20"/>
              </w:rPr>
              <w:t xml:space="preserve"> de las inversiones de los fondos</w:t>
            </w:r>
            <w:r w:rsidR="00BE3AA1">
              <w:rPr>
                <w:rStyle w:val="normaltextrun"/>
                <w:color w:val="4471C4"/>
                <w:sz w:val="20"/>
                <w:szCs w:val="20"/>
              </w:rPr>
              <w:t xml:space="preserve"> generacionales, así como de la madurez del modelo, por </w:t>
            </w:r>
            <w:r w:rsidR="00BE3AA1">
              <w:rPr>
                <w:rStyle w:val="normaltextrun"/>
                <w:color w:val="4471C4"/>
                <w:sz w:val="20"/>
                <w:szCs w:val="20"/>
              </w:rPr>
              <w:lastRenderedPageBreak/>
              <w:t>lo que otras medidas de desempeño podrán ser incluidas en próximos ajustes normativos.</w:t>
            </w:r>
          </w:p>
          <w:p w14:paraId="64DC7503" w14:textId="77777777" w:rsidR="00BE3AA1" w:rsidRDefault="00BE3AA1" w:rsidP="00A81D67">
            <w:pPr>
              <w:pStyle w:val="paragraph"/>
              <w:spacing w:before="0" w:beforeAutospacing="0" w:after="0" w:afterAutospacing="0"/>
              <w:jc w:val="both"/>
              <w:textAlignment w:val="baseline"/>
              <w:rPr>
                <w:rStyle w:val="normaltextrun"/>
                <w:color w:val="4471C4"/>
                <w:sz w:val="20"/>
                <w:szCs w:val="20"/>
              </w:rPr>
            </w:pPr>
          </w:p>
          <w:p w14:paraId="6969C594" w14:textId="77777777" w:rsidR="00322869" w:rsidRPr="00322869" w:rsidRDefault="00322869" w:rsidP="00322869">
            <w:pPr>
              <w:jc w:val="both"/>
              <w:rPr>
                <w:bCs/>
                <w:iCs/>
                <w:sz w:val="20"/>
                <w:szCs w:val="20"/>
              </w:rPr>
            </w:pPr>
            <w:r w:rsidRPr="00322869">
              <w:rPr>
                <w:bCs/>
                <w:iCs/>
                <w:sz w:val="20"/>
                <w:szCs w:val="20"/>
              </w:rPr>
              <w:t>De conformidad con la propuesta de reforma al artículo 4, se plantea sustituir el término "error de seguimiento" por el concepto de "desviación de la trayectoria".</w:t>
            </w:r>
          </w:p>
          <w:p w14:paraId="19CDB096" w14:textId="77777777" w:rsidR="00322869" w:rsidRPr="00322869" w:rsidRDefault="00322869" w:rsidP="00322869">
            <w:pPr>
              <w:jc w:val="both"/>
              <w:rPr>
                <w:bCs/>
                <w:iCs/>
                <w:sz w:val="20"/>
                <w:szCs w:val="20"/>
              </w:rPr>
            </w:pPr>
            <w:r w:rsidRPr="00322869">
              <w:rPr>
                <w:bCs/>
                <w:iCs/>
                <w:sz w:val="20"/>
                <w:szCs w:val="20"/>
              </w:rPr>
              <w:t>Este cambio implica un desplazamiento del enfoque de la Supervisión: en lugar de medir si el portafolio alcanza los rendimientos esperados en relación con un índice de referencia (benchmarking interno y externo), o al menos no alcanza la desviación esperada, la cual normalmente se estima en un porcentaje menor del 5%, ahora se evaluaría si la composición del portafolio, se ajusta a la política preestablecida para los fondos generacionales, en cuanto al cumplimiento de los porcentajes de los activos financieros de cada fondo generacional, considerando la renta fija y la renta variable. No obstante, el mismo artículo utiliza la frase "desviación de la trayectoria" para describir la diferencia entre los porcentajes asignados a cada clase de activo en la trayectoria óptima y la composición real del portafolio en un momento dado.</w:t>
            </w:r>
          </w:p>
          <w:p w14:paraId="6D2A18D9" w14:textId="77777777" w:rsidR="00E254C5" w:rsidRDefault="00322869" w:rsidP="00322869">
            <w:pPr>
              <w:jc w:val="both"/>
              <w:rPr>
                <w:bCs/>
                <w:iCs/>
                <w:sz w:val="20"/>
                <w:szCs w:val="20"/>
              </w:rPr>
            </w:pPr>
            <w:r w:rsidRPr="00322869">
              <w:rPr>
                <w:bCs/>
                <w:iCs/>
                <w:sz w:val="20"/>
                <w:szCs w:val="20"/>
              </w:rPr>
              <w:t>Esta falta de precisión en la definición del término supervisar puede generar confusión y dar lugar a interpretaciones erróneas sobre el aspecto que se está supervisando realmente: el cumplimiento de la estrategia de inversión o la rentabilidad del fondo.</w:t>
            </w:r>
          </w:p>
          <w:p w14:paraId="4836D983" w14:textId="77777777" w:rsidR="00DD468B" w:rsidRPr="00DD468B" w:rsidRDefault="00DD468B" w:rsidP="00DD468B">
            <w:pPr>
              <w:jc w:val="both"/>
              <w:rPr>
                <w:bCs/>
                <w:iCs/>
                <w:sz w:val="20"/>
                <w:szCs w:val="20"/>
              </w:rPr>
            </w:pPr>
            <w:r w:rsidRPr="00DD468B">
              <w:rPr>
                <w:bCs/>
                <w:iCs/>
                <w:sz w:val="20"/>
                <w:szCs w:val="20"/>
              </w:rPr>
              <w:t>El "error de seguimiento" es un término ampliamente aceptado en la práctica financiera, utilizado para describir la diferencia entre el rendimiento real de un portafolio y el rendimiento de su índice</w:t>
            </w:r>
            <w:r>
              <w:rPr>
                <w:bCs/>
                <w:iCs/>
                <w:sz w:val="20"/>
                <w:szCs w:val="20"/>
              </w:rPr>
              <w:t xml:space="preserve"> </w:t>
            </w:r>
            <w:r w:rsidRPr="00DD468B">
              <w:rPr>
                <w:bCs/>
                <w:iCs/>
                <w:sz w:val="20"/>
                <w:szCs w:val="20"/>
              </w:rPr>
              <w:t>de referencia. Este concepto es fundamental porque permite medir de manera precisa la capacidad de un gestor de inversiones para generar rentabilidad comparada con una referencia estándar del mercado. El problema que tenemos en Costa Rica es que no existen índices que permitan hacer esas estimaciones.</w:t>
            </w:r>
          </w:p>
          <w:p w14:paraId="6EA6ABA3" w14:textId="06D45E2A" w:rsidR="00F97799" w:rsidRDefault="00DD468B" w:rsidP="00F97799">
            <w:pPr>
              <w:jc w:val="both"/>
              <w:rPr>
                <w:bCs/>
                <w:iCs/>
                <w:sz w:val="20"/>
                <w:szCs w:val="20"/>
              </w:rPr>
            </w:pPr>
            <w:r w:rsidRPr="00DD468B">
              <w:rPr>
                <w:bCs/>
                <w:iCs/>
                <w:sz w:val="20"/>
                <w:szCs w:val="20"/>
              </w:rPr>
              <w:t>Al sustituir "error de seguimiento" por "desviación de la trayectoria", se percibe un cambio en el enfoque del Supervisor en la normativa que emite: la atención se desplaza de la evaluación del rendimiento de los fondos hacia el cumplimiento de una política de inversión específica preestablecida para los fondos generacionales.</w:t>
            </w:r>
          </w:p>
          <w:p w14:paraId="4AE4A7B6" w14:textId="77777777" w:rsidR="00265A64" w:rsidRDefault="00265A64" w:rsidP="00F97799">
            <w:pPr>
              <w:jc w:val="both"/>
              <w:rPr>
                <w:bCs/>
                <w:iCs/>
                <w:sz w:val="20"/>
                <w:szCs w:val="20"/>
              </w:rPr>
            </w:pPr>
          </w:p>
          <w:p w14:paraId="27799974" w14:textId="07D1CF4D" w:rsidR="005A1F14" w:rsidRPr="00AE6DC6" w:rsidRDefault="00265A64" w:rsidP="00F97799">
            <w:pPr>
              <w:jc w:val="both"/>
              <w:rPr>
                <w:bCs/>
                <w:iCs/>
                <w:color w:val="4472C4" w:themeColor="accent1"/>
                <w:sz w:val="20"/>
                <w:szCs w:val="20"/>
              </w:rPr>
            </w:pPr>
            <w:r w:rsidRPr="00AE6DC6">
              <w:rPr>
                <w:bCs/>
                <w:iCs/>
                <w:color w:val="4472C4" w:themeColor="accent1"/>
                <w:sz w:val="20"/>
                <w:szCs w:val="20"/>
              </w:rPr>
              <w:t xml:space="preserve">Respuesta: </w:t>
            </w:r>
            <w:r w:rsidR="009D248E">
              <w:rPr>
                <w:bCs/>
                <w:iCs/>
                <w:color w:val="4472C4" w:themeColor="accent1"/>
                <w:sz w:val="20"/>
                <w:szCs w:val="20"/>
              </w:rPr>
              <w:t>ver comentario anterior.</w:t>
            </w:r>
          </w:p>
          <w:p w14:paraId="73C45DD3" w14:textId="1181467B" w:rsidR="00265A64" w:rsidRPr="00DD468B" w:rsidRDefault="00265A64" w:rsidP="00F97799">
            <w:pPr>
              <w:jc w:val="both"/>
              <w:rPr>
                <w:bCs/>
                <w:iCs/>
                <w:sz w:val="20"/>
                <w:szCs w:val="20"/>
              </w:rPr>
            </w:pPr>
            <w:r>
              <w:rPr>
                <w:bCs/>
                <w:iCs/>
                <w:sz w:val="20"/>
                <w:szCs w:val="20"/>
              </w:rPr>
              <w:t xml:space="preserve"> </w:t>
            </w:r>
          </w:p>
          <w:p w14:paraId="62D881F5" w14:textId="77777777" w:rsidR="00DD468B" w:rsidRPr="00DD468B" w:rsidRDefault="00DD468B" w:rsidP="00DD468B">
            <w:pPr>
              <w:jc w:val="both"/>
              <w:rPr>
                <w:bCs/>
                <w:iCs/>
                <w:sz w:val="20"/>
                <w:szCs w:val="20"/>
              </w:rPr>
            </w:pPr>
            <w:r w:rsidRPr="00DD468B">
              <w:rPr>
                <w:bCs/>
                <w:iCs/>
                <w:sz w:val="20"/>
                <w:szCs w:val="20"/>
              </w:rPr>
              <w:t>Esta modificación podría tener implicaciones significativas ya que la medición del desempeño se enfocaría, en si la composición del portafolio sigue los porcentajes definidos por clase de activos, sin que sea necesario considerar si dicha composición está produciendo los resultados esperados en términos de rentabilidad.</w:t>
            </w:r>
          </w:p>
          <w:p w14:paraId="0597F90D" w14:textId="77777777" w:rsidR="00322869" w:rsidRDefault="00DD468B" w:rsidP="00DD468B">
            <w:pPr>
              <w:jc w:val="both"/>
              <w:rPr>
                <w:bCs/>
                <w:iCs/>
                <w:sz w:val="20"/>
                <w:szCs w:val="20"/>
              </w:rPr>
            </w:pPr>
            <w:r w:rsidRPr="00DD468B">
              <w:rPr>
                <w:bCs/>
                <w:iCs/>
                <w:sz w:val="20"/>
                <w:szCs w:val="20"/>
              </w:rPr>
              <w:t>Esta reformulación puede llevar a un desenfoque de los objetivos primarios de la regulación que estaba orientada a la “inversión y los rendimientos”, pues ahora se estaría promoviendo un enfoque demasiado rígido en la estructura del portafolio. Como consecuencia, podría incentivar a cumplir estrictamente con la composición establecida de activos, en lugar de buscar estrategias que optimicen los rendimientos ajustados al riesgo en beneficio de los afiliados.</w:t>
            </w:r>
          </w:p>
          <w:p w14:paraId="10A43D9D" w14:textId="77777777" w:rsidR="0037372E" w:rsidRDefault="0037372E" w:rsidP="00DD468B">
            <w:pPr>
              <w:jc w:val="both"/>
              <w:rPr>
                <w:bCs/>
                <w:iCs/>
              </w:rPr>
            </w:pPr>
          </w:p>
          <w:p w14:paraId="594FFD8B" w14:textId="0F79DB28" w:rsidR="0037372E" w:rsidRPr="0037372E" w:rsidRDefault="0037372E" w:rsidP="0037372E">
            <w:pPr>
              <w:pStyle w:val="paragraph"/>
              <w:spacing w:before="0" w:beforeAutospacing="0" w:after="0" w:afterAutospacing="0"/>
              <w:jc w:val="both"/>
              <w:textAlignment w:val="baseline"/>
              <w:rPr>
                <w:rFonts w:ascii="Segoe UI" w:hAnsi="Segoe UI" w:cs="Segoe UI"/>
                <w:sz w:val="18"/>
                <w:szCs w:val="18"/>
              </w:rPr>
            </w:pPr>
            <w:r w:rsidRPr="0037372E">
              <w:rPr>
                <w:rStyle w:val="normaltextrun"/>
                <w:color w:val="4471C4"/>
                <w:sz w:val="20"/>
                <w:szCs w:val="20"/>
              </w:rPr>
              <w:t>Respuesta</w:t>
            </w:r>
            <w:r w:rsidR="00F41843">
              <w:rPr>
                <w:rStyle w:val="normaltextrun"/>
                <w:color w:val="4471C4"/>
                <w:sz w:val="20"/>
                <w:szCs w:val="20"/>
              </w:rPr>
              <w:t>:</w:t>
            </w:r>
            <w:r w:rsidRPr="0037372E">
              <w:rPr>
                <w:rStyle w:val="eop"/>
                <w:color w:val="4471C4"/>
                <w:sz w:val="20"/>
                <w:szCs w:val="20"/>
              </w:rPr>
              <w:t> </w:t>
            </w:r>
          </w:p>
          <w:p w14:paraId="65F758F7" w14:textId="03F39B33" w:rsidR="0037372E" w:rsidRPr="003C77BC" w:rsidRDefault="004B1C44" w:rsidP="0037372E">
            <w:pPr>
              <w:pStyle w:val="paragraph"/>
              <w:spacing w:before="0" w:beforeAutospacing="0" w:after="0" w:afterAutospacing="0"/>
              <w:jc w:val="both"/>
              <w:textAlignment w:val="baseline"/>
              <w:rPr>
                <w:rFonts w:ascii="Segoe UI" w:hAnsi="Segoe UI" w:cs="Segoe UI"/>
                <w:color w:val="4472C4" w:themeColor="accent1"/>
                <w:sz w:val="18"/>
                <w:szCs w:val="18"/>
              </w:rPr>
            </w:pPr>
            <w:r>
              <w:rPr>
                <w:bCs/>
                <w:iCs/>
                <w:color w:val="4472C4" w:themeColor="accent1"/>
                <w:sz w:val="20"/>
                <w:szCs w:val="20"/>
              </w:rPr>
              <w:t>Ver comentario anterior.</w:t>
            </w:r>
          </w:p>
          <w:p w14:paraId="2D5E04B4" w14:textId="60D99C79" w:rsidR="0037372E" w:rsidRPr="003C77BC" w:rsidRDefault="00C50F15" w:rsidP="00DD468B">
            <w:pPr>
              <w:jc w:val="both"/>
              <w:rPr>
                <w:bCs/>
                <w:iCs/>
                <w:color w:val="4472C4" w:themeColor="accent1"/>
                <w:sz w:val="20"/>
                <w:szCs w:val="20"/>
              </w:rPr>
            </w:pPr>
            <w:r w:rsidRPr="003C77BC">
              <w:rPr>
                <w:bCs/>
                <w:iCs/>
                <w:color w:val="4472C4" w:themeColor="accent1"/>
                <w:sz w:val="20"/>
                <w:szCs w:val="20"/>
              </w:rPr>
              <w:t>Con respecto a</w:t>
            </w:r>
            <w:r w:rsidR="005C750C" w:rsidRPr="003C77BC">
              <w:rPr>
                <w:bCs/>
                <w:iCs/>
                <w:color w:val="4472C4" w:themeColor="accent1"/>
                <w:sz w:val="20"/>
                <w:szCs w:val="20"/>
              </w:rPr>
              <w:t xml:space="preserve"> </w:t>
            </w:r>
            <w:r w:rsidR="003E1F67">
              <w:rPr>
                <w:bCs/>
                <w:iCs/>
                <w:color w:val="4472C4" w:themeColor="accent1"/>
                <w:sz w:val="20"/>
                <w:szCs w:val="20"/>
              </w:rPr>
              <w:t>“</w:t>
            </w:r>
            <w:r w:rsidR="005C750C" w:rsidRPr="003C77BC">
              <w:rPr>
                <w:bCs/>
                <w:i/>
                <w:color w:val="4472C4" w:themeColor="accent1"/>
                <w:sz w:val="20"/>
                <w:szCs w:val="20"/>
              </w:rPr>
              <w:t>un enfoque demasiado rígido en la estructura del portafolio</w:t>
            </w:r>
            <w:r w:rsidR="003E1F67">
              <w:rPr>
                <w:bCs/>
                <w:i/>
                <w:color w:val="4472C4" w:themeColor="accent1"/>
                <w:sz w:val="20"/>
                <w:szCs w:val="20"/>
              </w:rPr>
              <w:t>”</w:t>
            </w:r>
            <w:r w:rsidR="005C750C" w:rsidRPr="003C77BC">
              <w:rPr>
                <w:bCs/>
                <w:iCs/>
                <w:color w:val="4472C4" w:themeColor="accent1"/>
                <w:sz w:val="20"/>
                <w:szCs w:val="20"/>
              </w:rPr>
              <w:t xml:space="preserve">, </w:t>
            </w:r>
            <w:r w:rsidR="00236730">
              <w:rPr>
                <w:bCs/>
                <w:iCs/>
                <w:color w:val="4472C4" w:themeColor="accent1"/>
                <w:sz w:val="20"/>
                <w:szCs w:val="20"/>
              </w:rPr>
              <w:t xml:space="preserve">precisamente </w:t>
            </w:r>
            <w:r w:rsidR="00FB7608">
              <w:rPr>
                <w:bCs/>
                <w:iCs/>
                <w:color w:val="4472C4" w:themeColor="accent1"/>
                <w:sz w:val="20"/>
                <w:szCs w:val="20"/>
              </w:rPr>
              <w:t xml:space="preserve">la reforma va en la dirección </w:t>
            </w:r>
            <w:r w:rsidR="00931CD6">
              <w:rPr>
                <w:bCs/>
                <w:iCs/>
                <w:color w:val="4472C4" w:themeColor="accent1"/>
                <w:sz w:val="20"/>
                <w:szCs w:val="20"/>
              </w:rPr>
              <w:t xml:space="preserve">de brindar </w:t>
            </w:r>
            <w:r w:rsidR="002F1175">
              <w:rPr>
                <w:bCs/>
                <w:iCs/>
                <w:color w:val="4472C4" w:themeColor="accent1"/>
                <w:sz w:val="20"/>
                <w:szCs w:val="20"/>
              </w:rPr>
              <w:t xml:space="preserve">rangos de tolerancia con respecto a la trayectoria de inversión, definidos por las mismas operadoras, </w:t>
            </w:r>
            <w:r w:rsidR="008150F8">
              <w:rPr>
                <w:bCs/>
                <w:iCs/>
                <w:color w:val="4472C4" w:themeColor="accent1"/>
                <w:sz w:val="20"/>
                <w:szCs w:val="20"/>
              </w:rPr>
              <w:t>de acuerdo con</w:t>
            </w:r>
            <w:r w:rsidR="00236730">
              <w:rPr>
                <w:bCs/>
                <w:iCs/>
                <w:color w:val="4472C4" w:themeColor="accent1"/>
                <w:sz w:val="20"/>
                <w:szCs w:val="20"/>
              </w:rPr>
              <w:t xml:space="preserve"> su declaración de apetito al riesgo.</w:t>
            </w:r>
            <w:r w:rsidR="002B0223">
              <w:rPr>
                <w:bCs/>
                <w:iCs/>
                <w:color w:val="4472C4" w:themeColor="accent1"/>
                <w:sz w:val="20"/>
                <w:szCs w:val="20"/>
              </w:rPr>
              <w:t xml:space="preserve"> </w:t>
            </w:r>
          </w:p>
          <w:p w14:paraId="2AEC2C73" w14:textId="77777777" w:rsidR="00045AEC" w:rsidRPr="003C77BC" w:rsidRDefault="00045AEC" w:rsidP="00DD468B">
            <w:pPr>
              <w:jc w:val="both"/>
              <w:rPr>
                <w:bCs/>
                <w:iCs/>
                <w:color w:val="4472C4" w:themeColor="accent1"/>
                <w:sz w:val="20"/>
                <w:szCs w:val="20"/>
              </w:rPr>
            </w:pPr>
          </w:p>
          <w:p w14:paraId="4482D479" w14:textId="77777777" w:rsidR="00857730" w:rsidRDefault="00857730" w:rsidP="00857730">
            <w:pPr>
              <w:jc w:val="both"/>
              <w:rPr>
                <w:bCs/>
                <w:iCs/>
                <w:sz w:val="20"/>
                <w:szCs w:val="20"/>
              </w:rPr>
            </w:pPr>
            <w:r w:rsidRPr="00857730">
              <w:rPr>
                <w:bCs/>
                <w:iCs/>
                <w:sz w:val="20"/>
                <w:szCs w:val="20"/>
              </w:rPr>
              <w:t xml:space="preserve">En el artículo 6, el cambio del título de "Rebalanceo del portafolio" a "Modificación de la trayectoria" agrega una serie de confusiones. Este cambio sugiere que la normativa ahora permite ajustar la "trayectoria de inversión" por razones técnicas justificadas. Sin embargo, al utilizar términos como "desviación de la trayectoria" y "error de seguimiento" de manera indistinta, se genera incertidumbre sobre cuál es realmente el objeto de supervisión. </w:t>
            </w:r>
            <w:proofErr w:type="gramStart"/>
            <w:r w:rsidRPr="00857730">
              <w:rPr>
                <w:bCs/>
                <w:iCs/>
                <w:sz w:val="20"/>
                <w:szCs w:val="20"/>
              </w:rPr>
              <w:t>En razón de</w:t>
            </w:r>
            <w:proofErr w:type="gramEnd"/>
            <w:r w:rsidRPr="00857730">
              <w:rPr>
                <w:bCs/>
                <w:iCs/>
                <w:sz w:val="20"/>
                <w:szCs w:val="20"/>
              </w:rPr>
              <w:t xml:space="preserve"> lo anterior, para este artículo 6 del SP-A-267-2024, haremos una propuesta concreta de redacción.</w:t>
            </w:r>
          </w:p>
          <w:p w14:paraId="5A660294" w14:textId="77777777" w:rsidR="00313DC1" w:rsidRDefault="00313DC1" w:rsidP="00857730">
            <w:pPr>
              <w:jc w:val="both"/>
              <w:rPr>
                <w:bCs/>
                <w:iCs/>
              </w:rPr>
            </w:pPr>
          </w:p>
          <w:p w14:paraId="2FBF2BFC" w14:textId="0A2653E1" w:rsidR="00313DC1" w:rsidRPr="00313DC1" w:rsidRDefault="00313DC1" w:rsidP="00313DC1">
            <w:pPr>
              <w:jc w:val="both"/>
              <w:rPr>
                <w:bCs/>
                <w:iCs/>
                <w:color w:val="4472C4" w:themeColor="accent1"/>
                <w:sz w:val="20"/>
                <w:szCs w:val="20"/>
              </w:rPr>
            </w:pPr>
            <w:r w:rsidRPr="00313DC1">
              <w:rPr>
                <w:bCs/>
                <w:iCs/>
                <w:color w:val="4472C4" w:themeColor="accent1"/>
                <w:sz w:val="20"/>
                <w:szCs w:val="20"/>
              </w:rPr>
              <w:t>Respuesta</w:t>
            </w:r>
            <w:r w:rsidR="002759FF">
              <w:rPr>
                <w:bCs/>
                <w:iCs/>
                <w:color w:val="4472C4" w:themeColor="accent1"/>
                <w:sz w:val="20"/>
                <w:szCs w:val="20"/>
              </w:rPr>
              <w:t>:</w:t>
            </w:r>
            <w:r w:rsidRPr="00313DC1">
              <w:rPr>
                <w:bCs/>
                <w:iCs/>
                <w:color w:val="4472C4" w:themeColor="accent1"/>
                <w:sz w:val="20"/>
                <w:szCs w:val="20"/>
              </w:rPr>
              <w:t xml:space="preserve"> </w:t>
            </w:r>
          </w:p>
          <w:p w14:paraId="752ADE6E" w14:textId="0805EC91" w:rsidR="00313DC1" w:rsidRPr="00313DC1" w:rsidRDefault="001B7AA2" w:rsidP="00313DC1">
            <w:pPr>
              <w:jc w:val="both"/>
              <w:rPr>
                <w:bCs/>
                <w:iCs/>
                <w:color w:val="4472C4" w:themeColor="accent1"/>
                <w:sz w:val="20"/>
                <w:szCs w:val="20"/>
              </w:rPr>
            </w:pPr>
            <w:r>
              <w:rPr>
                <w:bCs/>
                <w:iCs/>
                <w:color w:val="4472C4" w:themeColor="accent1"/>
                <w:sz w:val="20"/>
                <w:szCs w:val="20"/>
              </w:rPr>
              <w:t>Ver comentarios anteriores.</w:t>
            </w:r>
          </w:p>
          <w:p w14:paraId="5DFE6012" w14:textId="77777777" w:rsidR="00313DC1" w:rsidRPr="00857730" w:rsidRDefault="00313DC1" w:rsidP="00313DC1">
            <w:pPr>
              <w:jc w:val="both"/>
              <w:rPr>
                <w:bCs/>
                <w:iCs/>
                <w:sz w:val="20"/>
                <w:szCs w:val="20"/>
              </w:rPr>
            </w:pPr>
          </w:p>
          <w:p w14:paraId="6A1E087C" w14:textId="77777777" w:rsidR="00857730" w:rsidRDefault="00857730" w:rsidP="00857730">
            <w:pPr>
              <w:jc w:val="both"/>
              <w:rPr>
                <w:bCs/>
                <w:iCs/>
                <w:sz w:val="20"/>
                <w:szCs w:val="20"/>
              </w:rPr>
            </w:pPr>
            <w:r w:rsidRPr="00857730">
              <w:rPr>
                <w:bCs/>
                <w:iCs/>
                <w:sz w:val="20"/>
                <w:szCs w:val="20"/>
              </w:rPr>
              <w:lastRenderedPageBreak/>
              <w:t>Tradicionalmente, el "rebalanceo del portafolio" se refiere a la práctica de ajustar las ponderaciones de los diferentes activos dentro de un portafolio para mantener el nivel de riesgo deseado o para alinearse con las expectativas del mercado.</w:t>
            </w:r>
          </w:p>
          <w:p w14:paraId="55A50A12" w14:textId="77777777" w:rsidR="003027C1" w:rsidRDefault="003027C1" w:rsidP="00857730">
            <w:pPr>
              <w:jc w:val="both"/>
              <w:rPr>
                <w:bCs/>
                <w:iCs/>
                <w:sz w:val="20"/>
                <w:szCs w:val="20"/>
              </w:rPr>
            </w:pPr>
          </w:p>
          <w:p w14:paraId="7DD86700" w14:textId="319C33E6" w:rsidR="003027C1" w:rsidRDefault="003027C1" w:rsidP="003027C1">
            <w:pPr>
              <w:pStyle w:val="paragraph"/>
              <w:spacing w:before="0" w:beforeAutospacing="0" w:after="0" w:afterAutospacing="0"/>
              <w:jc w:val="both"/>
              <w:textAlignment w:val="baseline"/>
              <w:rPr>
                <w:rFonts w:ascii="Segoe UI" w:hAnsi="Segoe UI" w:cs="Segoe UI"/>
                <w:sz w:val="18"/>
                <w:szCs w:val="18"/>
              </w:rPr>
            </w:pPr>
            <w:r>
              <w:rPr>
                <w:rStyle w:val="normaltextrun"/>
                <w:color w:val="4471C4"/>
                <w:sz w:val="20"/>
                <w:szCs w:val="20"/>
              </w:rPr>
              <w:t>Respuesta</w:t>
            </w:r>
            <w:r w:rsidR="00233A3E">
              <w:rPr>
                <w:rStyle w:val="normaltextrun"/>
                <w:color w:val="4471C4"/>
                <w:sz w:val="20"/>
                <w:szCs w:val="20"/>
              </w:rPr>
              <w:t>:</w:t>
            </w:r>
            <w:r>
              <w:rPr>
                <w:rStyle w:val="eop"/>
                <w:color w:val="4471C4"/>
                <w:sz w:val="20"/>
                <w:szCs w:val="20"/>
              </w:rPr>
              <w:t> </w:t>
            </w:r>
          </w:p>
          <w:p w14:paraId="71F47517" w14:textId="681B68E8" w:rsidR="003027C1" w:rsidRDefault="00DE50AF" w:rsidP="003027C1">
            <w:pPr>
              <w:pStyle w:val="paragraph"/>
              <w:spacing w:before="0" w:beforeAutospacing="0" w:after="0" w:afterAutospacing="0"/>
              <w:jc w:val="both"/>
              <w:textAlignment w:val="baseline"/>
              <w:rPr>
                <w:rFonts w:ascii="Segoe UI" w:hAnsi="Segoe UI" w:cs="Segoe UI"/>
                <w:sz w:val="18"/>
                <w:szCs w:val="18"/>
              </w:rPr>
            </w:pPr>
            <w:r>
              <w:rPr>
                <w:rStyle w:val="normaltextrun"/>
                <w:color w:val="4471C4"/>
                <w:sz w:val="20"/>
                <w:szCs w:val="20"/>
              </w:rPr>
              <w:t>Se aclara que e</w:t>
            </w:r>
            <w:r w:rsidR="00930A61">
              <w:rPr>
                <w:rStyle w:val="normaltextrun"/>
                <w:color w:val="4471C4"/>
                <w:sz w:val="20"/>
                <w:szCs w:val="20"/>
              </w:rPr>
              <w:t>l ajuste normativo</w:t>
            </w:r>
            <w:r w:rsidR="0016096B">
              <w:rPr>
                <w:rStyle w:val="normaltextrun"/>
                <w:color w:val="4471C4"/>
                <w:sz w:val="20"/>
                <w:szCs w:val="20"/>
              </w:rPr>
              <w:t xml:space="preserve"> n</w:t>
            </w:r>
            <w:r w:rsidR="003027C1">
              <w:rPr>
                <w:rStyle w:val="normaltextrun"/>
                <w:color w:val="4471C4"/>
                <w:sz w:val="20"/>
                <w:szCs w:val="20"/>
              </w:rPr>
              <w:t>o utiliza el término rebalanceo</w:t>
            </w:r>
            <w:r w:rsidR="00233A3E">
              <w:rPr>
                <w:rStyle w:val="normaltextrun"/>
                <w:color w:val="4471C4"/>
                <w:sz w:val="20"/>
                <w:szCs w:val="20"/>
              </w:rPr>
              <w:t>.</w:t>
            </w:r>
            <w:r w:rsidR="003027C1">
              <w:rPr>
                <w:rStyle w:val="eop"/>
                <w:color w:val="4471C4"/>
                <w:sz w:val="20"/>
                <w:szCs w:val="20"/>
              </w:rPr>
              <w:t> </w:t>
            </w:r>
          </w:p>
          <w:p w14:paraId="4C7745CA" w14:textId="77777777" w:rsidR="003027C1" w:rsidRPr="00857730" w:rsidRDefault="003027C1" w:rsidP="00857730">
            <w:pPr>
              <w:jc w:val="both"/>
              <w:rPr>
                <w:bCs/>
                <w:iCs/>
                <w:sz w:val="20"/>
                <w:szCs w:val="20"/>
              </w:rPr>
            </w:pPr>
          </w:p>
          <w:p w14:paraId="1D3877C8" w14:textId="77777777" w:rsidR="00857730" w:rsidRDefault="00857730" w:rsidP="00857730">
            <w:pPr>
              <w:jc w:val="both"/>
              <w:rPr>
                <w:bCs/>
                <w:iCs/>
                <w:sz w:val="20"/>
                <w:szCs w:val="20"/>
              </w:rPr>
            </w:pPr>
            <w:r w:rsidRPr="00857730">
              <w:rPr>
                <w:bCs/>
                <w:iCs/>
                <w:sz w:val="20"/>
                <w:szCs w:val="20"/>
              </w:rPr>
              <w:t>Cambiar el término a "modificación de la trayectoria" sin una definición clara podría implicar que cualquier ajuste en el portafolio debe estar justificado exclusivamente por desviaciones de la trayectoria óptima definida, ignorando la necesidad de ajustes en función de las condiciones del mercado o del rendimiento. Esto podría limitar la flexibilidad de las Operadoras para adaptarse a cambios en el entorno económico o financiero, afectando negativamente la capacidad de gestionar los riesgos y optimizar los rendimientos.</w:t>
            </w:r>
          </w:p>
          <w:p w14:paraId="5D663ACE" w14:textId="77777777" w:rsidR="003027C1" w:rsidRDefault="003027C1" w:rsidP="00857730">
            <w:pPr>
              <w:jc w:val="both"/>
              <w:rPr>
                <w:bCs/>
                <w:iCs/>
                <w:sz w:val="20"/>
                <w:szCs w:val="20"/>
              </w:rPr>
            </w:pPr>
          </w:p>
          <w:p w14:paraId="7DC6EC71" w14:textId="04559857" w:rsidR="003027C1" w:rsidRDefault="003027C1" w:rsidP="003027C1">
            <w:pPr>
              <w:pStyle w:val="paragraph"/>
              <w:spacing w:before="0" w:beforeAutospacing="0" w:after="0" w:afterAutospacing="0"/>
              <w:jc w:val="both"/>
              <w:textAlignment w:val="baseline"/>
              <w:rPr>
                <w:rFonts w:ascii="Segoe UI" w:hAnsi="Segoe UI" w:cs="Segoe UI"/>
                <w:sz w:val="18"/>
                <w:szCs w:val="18"/>
              </w:rPr>
            </w:pPr>
            <w:r>
              <w:rPr>
                <w:rStyle w:val="normaltextrun"/>
                <w:color w:val="4471C4"/>
                <w:sz w:val="20"/>
                <w:szCs w:val="20"/>
              </w:rPr>
              <w:t>Respuesta</w:t>
            </w:r>
            <w:r w:rsidR="00253D1F">
              <w:rPr>
                <w:rStyle w:val="normaltextrun"/>
                <w:color w:val="4471C4"/>
                <w:sz w:val="20"/>
                <w:szCs w:val="20"/>
              </w:rPr>
              <w:t>:</w:t>
            </w:r>
            <w:r>
              <w:rPr>
                <w:rStyle w:val="eop"/>
                <w:color w:val="4471C4"/>
                <w:sz w:val="20"/>
                <w:szCs w:val="20"/>
              </w:rPr>
              <w:t> </w:t>
            </w:r>
          </w:p>
          <w:p w14:paraId="0DDB0497" w14:textId="0F1EC40D" w:rsidR="003027C1" w:rsidRDefault="008615D6" w:rsidP="00857730">
            <w:pPr>
              <w:jc w:val="both"/>
              <w:rPr>
                <w:bCs/>
                <w:iCs/>
                <w:color w:val="4472C4" w:themeColor="accent1"/>
                <w:sz w:val="20"/>
                <w:szCs w:val="20"/>
              </w:rPr>
            </w:pPr>
            <w:r>
              <w:rPr>
                <w:bCs/>
                <w:iCs/>
                <w:color w:val="4472C4" w:themeColor="accent1"/>
                <w:sz w:val="20"/>
                <w:szCs w:val="20"/>
              </w:rPr>
              <w:t xml:space="preserve">Se aclara. </w:t>
            </w:r>
            <w:r w:rsidR="004A03C8">
              <w:rPr>
                <w:bCs/>
                <w:iCs/>
                <w:color w:val="4472C4" w:themeColor="accent1"/>
                <w:sz w:val="20"/>
                <w:szCs w:val="20"/>
              </w:rPr>
              <w:t xml:space="preserve">Como se ha apuntado anteriormente, la reforma va en la dirección de brindar rangos de tolerancia con respecto a la trayectoria de inversión, definidos por las mismas operadoras, de acuerdo con su declaración de apetito al riesgo. </w:t>
            </w:r>
          </w:p>
          <w:p w14:paraId="2B01CD4A" w14:textId="77777777" w:rsidR="004A03C8" w:rsidRPr="00857730" w:rsidRDefault="004A03C8" w:rsidP="00857730">
            <w:pPr>
              <w:jc w:val="both"/>
              <w:rPr>
                <w:bCs/>
                <w:iCs/>
                <w:sz w:val="20"/>
                <w:szCs w:val="20"/>
              </w:rPr>
            </w:pPr>
          </w:p>
          <w:p w14:paraId="6A25B5C1" w14:textId="77777777" w:rsidR="00DD468B" w:rsidRDefault="00857730" w:rsidP="00857730">
            <w:pPr>
              <w:jc w:val="both"/>
              <w:rPr>
                <w:bCs/>
                <w:iCs/>
                <w:sz w:val="20"/>
                <w:szCs w:val="20"/>
              </w:rPr>
            </w:pPr>
            <w:r w:rsidRPr="00857730">
              <w:rPr>
                <w:bCs/>
                <w:iCs/>
                <w:sz w:val="20"/>
                <w:szCs w:val="20"/>
              </w:rPr>
              <w:t>Finalmente, en el artículo 8, la reforma introduce el término "trayectoria" en el contexto de la evaluación de las inversiones, pero, aquella "evaluación de la trayectoria" parece ser un concepto distinto del "error de seguimiento". Esto añade un nivel adicional de complejidad y falta de claridad. La "desviación de la trayectoria", tal como se plantea, no es un término reconocido o definido en la práctica financiera estándar, y carece del respaldo conceptual que tiene el "error de seguimiento".</w:t>
            </w:r>
          </w:p>
          <w:p w14:paraId="4031A536" w14:textId="77777777" w:rsidR="0026669C" w:rsidRDefault="0026669C" w:rsidP="00857730">
            <w:pPr>
              <w:jc w:val="both"/>
              <w:rPr>
                <w:bCs/>
                <w:iCs/>
                <w:sz w:val="20"/>
                <w:szCs w:val="20"/>
              </w:rPr>
            </w:pPr>
          </w:p>
          <w:p w14:paraId="2AB5DCFC" w14:textId="3D04BE89" w:rsidR="0026669C" w:rsidRDefault="0026669C" w:rsidP="0026669C">
            <w:pPr>
              <w:pStyle w:val="paragraph"/>
              <w:spacing w:before="0" w:beforeAutospacing="0" w:after="0" w:afterAutospacing="0"/>
              <w:jc w:val="both"/>
              <w:textAlignment w:val="baseline"/>
              <w:rPr>
                <w:rFonts w:ascii="Segoe UI" w:hAnsi="Segoe UI" w:cs="Segoe UI"/>
                <w:sz w:val="18"/>
                <w:szCs w:val="18"/>
              </w:rPr>
            </w:pPr>
            <w:r>
              <w:rPr>
                <w:rStyle w:val="normaltextrun"/>
                <w:color w:val="4471C4"/>
                <w:sz w:val="20"/>
                <w:szCs w:val="20"/>
              </w:rPr>
              <w:t>Respuesta</w:t>
            </w:r>
            <w:r w:rsidR="00CE2E2F">
              <w:rPr>
                <w:rStyle w:val="normaltextrun"/>
                <w:color w:val="4471C4"/>
                <w:sz w:val="20"/>
                <w:szCs w:val="20"/>
              </w:rPr>
              <w:t>:</w:t>
            </w:r>
            <w:r>
              <w:rPr>
                <w:rStyle w:val="eop"/>
                <w:color w:val="4471C4"/>
                <w:sz w:val="20"/>
                <w:szCs w:val="20"/>
              </w:rPr>
              <w:t> </w:t>
            </w:r>
          </w:p>
          <w:p w14:paraId="1DEB77C8" w14:textId="3CFA9747" w:rsidR="0026669C" w:rsidRDefault="006D7E13" w:rsidP="0026669C">
            <w:pPr>
              <w:pStyle w:val="paragraph"/>
              <w:spacing w:before="0" w:beforeAutospacing="0" w:after="0" w:afterAutospacing="0"/>
              <w:jc w:val="both"/>
              <w:textAlignment w:val="baseline"/>
              <w:rPr>
                <w:rFonts w:ascii="Segoe UI" w:hAnsi="Segoe UI" w:cs="Segoe UI"/>
                <w:sz w:val="18"/>
                <w:szCs w:val="18"/>
              </w:rPr>
            </w:pPr>
            <w:r>
              <w:rPr>
                <w:rStyle w:val="normaltextrun"/>
                <w:color w:val="4471C4"/>
                <w:sz w:val="20"/>
                <w:szCs w:val="20"/>
              </w:rPr>
              <w:t>Ver comentarios anteriores</w:t>
            </w:r>
            <w:r w:rsidR="00594F42">
              <w:rPr>
                <w:rStyle w:val="normaltextrun"/>
                <w:color w:val="4471C4"/>
                <w:sz w:val="20"/>
                <w:szCs w:val="20"/>
              </w:rPr>
              <w:t>.</w:t>
            </w:r>
            <w:r w:rsidR="0026669C">
              <w:rPr>
                <w:rStyle w:val="eop"/>
                <w:color w:val="4471C4"/>
                <w:sz w:val="20"/>
                <w:szCs w:val="20"/>
              </w:rPr>
              <w:t> </w:t>
            </w:r>
          </w:p>
          <w:p w14:paraId="36BB8F22" w14:textId="22165516" w:rsidR="0026669C" w:rsidRPr="0026669C" w:rsidRDefault="0026669C" w:rsidP="0026669C">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1378CC00" w14:textId="77777777" w:rsidR="00857730" w:rsidRDefault="00857730" w:rsidP="00857730">
            <w:pPr>
              <w:jc w:val="both"/>
              <w:rPr>
                <w:bCs/>
                <w:iCs/>
                <w:sz w:val="20"/>
                <w:szCs w:val="20"/>
              </w:rPr>
            </w:pPr>
            <w:r w:rsidRPr="00857730">
              <w:rPr>
                <w:bCs/>
                <w:iCs/>
                <w:sz w:val="20"/>
                <w:szCs w:val="20"/>
              </w:rPr>
              <w:lastRenderedPageBreak/>
              <w:t>El concepto de "error de seguimiento" es bien entendido como una medida de la eficacia de un gestor en comparación con un índice de referencia, mientras que "desviación de la trayectoria" no tiene una definición técnica establecida ni es un uso común en la industria. Si el objetivo es supervisar ambos aspectos —tanto el cumplimiento de la política de inversión como el rendimiento del portafolio—, es fundamental que se aclaren los términos directamente en el Reglamento de Gestión de Activos y se definan claramente las métricas que se utilizarán para cada objetivo. La falta de precisión en los conceptos puede llevar a malinterpretaciones, errores de implementación y, en última instancia, a una supervisión menos eficaz.</w:t>
            </w:r>
          </w:p>
          <w:p w14:paraId="7CDE1892" w14:textId="77777777" w:rsidR="0026669C" w:rsidRDefault="0026669C" w:rsidP="00857730">
            <w:pPr>
              <w:jc w:val="both"/>
              <w:rPr>
                <w:bCs/>
                <w:iCs/>
                <w:sz w:val="20"/>
                <w:szCs w:val="20"/>
              </w:rPr>
            </w:pPr>
          </w:p>
          <w:p w14:paraId="63C27C75" w14:textId="77777777" w:rsidR="0026669C" w:rsidRDefault="0026669C" w:rsidP="0026669C">
            <w:pPr>
              <w:pStyle w:val="paragraph"/>
              <w:spacing w:before="0" w:beforeAutospacing="0" w:after="0" w:afterAutospacing="0"/>
              <w:jc w:val="both"/>
              <w:textAlignment w:val="baseline"/>
              <w:rPr>
                <w:rFonts w:ascii="Segoe UI" w:hAnsi="Segoe UI" w:cs="Segoe UI"/>
                <w:sz w:val="18"/>
                <w:szCs w:val="18"/>
              </w:rPr>
            </w:pPr>
            <w:r>
              <w:rPr>
                <w:rStyle w:val="normaltextrun"/>
                <w:color w:val="4471C4"/>
                <w:sz w:val="20"/>
                <w:szCs w:val="20"/>
              </w:rPr>
              <w:t>Respuesta:</w:t>
            </w:r>
            <w:r>
              <w:rPr>
                <w:rStyle w:val="eop"/>
                <w:color w:val="4471C4"/>
                <w:sz w:val="20"/>
                <w:szCs w:val="20"/>
              </w:rPr>
              <w:t> </w:t>
            </w:r>
          </w:p>
          <w:p w14:paraId="372D6E45" w14:textId="330C68F9" w:rsidR="0026669C" w:rsidRDefault="0026669C" w:rsidP="0026669C">
            <w:pPr>
              <w:pStyle w:val="paragraph"/>
              <w:spacing w:before="0" w:beforeAutospacing="0" w:after="0" w:afterAutospacing="0"/>
              <w:jc w:val="both"/>
              <w:textAlignment w:val="baseline"/>
              <w:rPr>
                <w:rFonts w:ascii="Segoe UI" w:hAnsi="Segoe UI" w:cs="Segoe UI"/>
                <w:sz w:val="18"/>
                <w:szCs w:val="18"/>
              </w:rPr>
            </w:pPr>
            <w:r>
              <w:rPr>
                <w:rStyle w:val="normaltextrun"/>
                <w:color w:val="4471C4"/>
                <w:sz w:val="20"/>
                <w:szCs w:val="20"/>
              </w:rPr>
              <w:t>Ver comentarios anteriores</w:t>
            </w:r>
            <w:r w:rsidR="006C08A8">
              <w:rPr>
                <w:rStyle w:val="normaltextrun"/>
                <w:color w:val="4471C4"/>
                <w:sz w:val="20"/>
                <w:szCs w:val="20"/>
              </w:rPr>
              <w:t>.</w:t>
            </w:r>
            <w:r>
              <w:rPr>
                <w:rStyle w:val="eop"/>
                <w:color w:val="4471C4"/>
                <w:sz w:val="20"/>
                <w:szCs w:val="20"/>
              </w:rPr>
              <w:t> </w:t>
            </w:r>
          </w:p>
          <w:p w14:paraId="0D1B7E77" w14:textId="77777777" w:rsidR="0026669C" w:rsidRPr="00857730" w:rsidRDefault="0026669C" w:rsidP="00857730">
            <w:pPr>
              <w:jc w:val="both"/>
              <w:rPr>
                <w:bCs/>
                <w:iCs/>
                <w:sz w:val="20"/>
                <w:szCs w:val="20"/>
              </w:rPr>
            </w:pPr>
          </w:p>
          <w:p w14:paraId="181EEA91" w14:textId="77777777" w:rsidR="00857730" w:rsidRDefault="00857730" w:rsidP="00857730">
            <w:pPr>
              <w:jc w:val="both"/>
              <w:rPr>
                <w:bCs/>
                <w:iCs/>
                <w:sz w:val="20"/>
                <w:szCs w:val="20"/>
              </w:rPr>
            </w:pPr>
            <w:r w:rsidRPr="00857730">
              <w:rPr>
                <w:bCs/>
                <w:iCs/>
                <w:sz w:val="20"/>
                <w:szCs w:val="20"/>
              </w:rPr>
              <w:t>Finalmente consideramos que los conceptos rebalanceo y modificación de trayectoria, deberían estar en las definiciones del Reglamento de Gestión de Activos, para seguridad y certeza de todos.</w:t>
            </w:r>
          </w:p>
          <w:p w14:paraId="7E9D1BD0" w14:textId="77777777" w:rsidR="00E141C5" w:rsidRDefault="00E141C5" w:rsidP="00857730">
            <w:pPr>
              <w:jc w:val="both"/>
              <w:rPr>
                <w:bCs/>
                <w:iCs/>
                <w:sz w:val="20"/>
                <w:szCs w:val="20"/>
              </w:rPr>
            </w:pPr>
          </w:p>
          <w:p w14:paraId="0ECC8337" w14:textId="77777777" w:rsidR="00FB0033" w:rsidRDefault="00FB0033" w:rsidP="00FB0033">
            <w:pPr>
              <w:pStyle w:val="paragraph"/>
              <w:spacing w:before="0" w:beforeAutospacing="0" w:after="0" w:afterAutospacing="0"/>
              <w:jc w:val="both"/>
              <w:textAlignment w:val="baseline"/>
              <w:rPr>
                <w:rFonts w:ascii="Segoe UI" w:hAnsi="Segoe UI" w:cs="Segoe UI"/>
                <w:sz w:val="18"/>
                <w:szCs w:val="18"/>
              </w:rPr>
            </w:pPr>
            <w:r>
              <w:rPr>
                <w:rStyle w:val="normaltextrun"/>
                <w:color w:val="4471C4"/>
                <w:sz w:val="20"/>
                <w:szCs w:val="20"/>
              </w:rPr>
              <w:t>Respuesta:</w:t>
            </w:r>
            <w:r>
              <w:rPr>
                <w:rStyle w:val="eop"/>
                <w:color w:val="4471C4"/>
                <w:sz w:val="20"/>
                <w:szCs w:val="20"/>
              </w:rPr>
              <w:t> </w:t>
            </w:r>
          </w:p>
          <w:p w14:paraId="56D286A8" w14:textId="77777777" w:rsidR="00FB0033" w:rsidRDefault="00FB0033" w:rsidP="00FB0033">
            <w:pPr>
              <w:pStyle w:val="paragraph"/>
              <w:spacing w:before="0" w:beforeAutospacing="0" w:after="0" w:afterAutospacing="0"/>
              <w:jc w:val="both"/>
              <w:textAlignment w:val="baseline"/>
              <w:rPr>
                <w:rFonts w:ascii="Segoe UI" w:hAnsi="Segoe UI" w:cs="Segoe UI"/>
                <w:sz w:val="18"/>
                <w:szCs w:val="18"/>
              </w:rPr>
            </w:pPr>
            <w:r>
              <w:rPr>
                <w:rStyle w:val="normaltextrun"/>
                <w:color w:val="4471C4"/>
                <w:sz w:val="20"/>
                <w:szCs w:val="20"/>
              </w:rPr>
              <w:t>Ver comentarios anteriores.</w:t>
            </w:r>
            <w:r>
              <w:rPr>
                <w:rStyle w:val="eop"/>
                <w:color w:val="4471C4"/>
                <w:sz w:val="20"/>
                <w:szCs w:val="20"/>
              </w:rPr>
              <w:t> </w:t>
            </w:r>
          </w:p>
          <w:p w14:paraId="351A1C03" w14:textId="3D1F7F12" w:rsidR="00FB0033" w:rsidRDefault="00FB0033" w:rsidP="00857730">
            <w:pPr>
              <w:jc w:val="both"/>
              <w:rPr>
                <w:bCs/>
                <w:iCs/>
                <w:sz w:val="20"/>
                <w:szCs w:val="20"/>
              </w:rPr>
            </w:pPr>
            <w:r>
              <w:rPr>
                <w:bCs/>
                <w:iCs/>
                <w:sz w:val="20"/>
                <w:szCs w:val="20"/>
              </w:rPr>
              <w:t xml:space="preserve"> </w:t>
            </w:r>
          </w:p>
          <w:p w14:paraId="1CC7F488" w14:textId="19F19EB7" w:rsidR="00307B43" w:rsidRPr="00307B43" w:rsidRDefault="00307B43" w:rsidP="00307B43">
            <w:pPr>
              <w:pStyle w:val="Prrafodelista"/>
              <w:numPr>
                <w:ilvl w:val="0"/>
                <w:numId w:val="22"/>
              </w:numPr>
              <w:rPr>
                <w:rFonts w:ascii="Times New Roman" w:eastAsia="Times New Roman" w:hAnsi="Times New Roman" w:cs="Times New Roman"/>
                <w:bCs/>
                <w:iCs/>
                <w:sz w:val="20"/>
                <w:szCs w:val="20"/>
                <w:lang w:val="es-CR" w:eastAsia="es-MX"/>
              </w:rPr>
            </w:pPr>
            <w:r w:rsidRPr="00307B43">
              <w:rPr>
                <w:rFonts w:ascii="Times New Roman" w:eastAsia="Times New Roman" w:hAnsi="Times New Roman" w:cs="Times New Roman"/>
                <w:bCs/>
                <w:iCs/>
                <w:sz w:val="20"/>
                <w:szCs w:val="20"/>
                <w:lang w:val="es-CR" w:eastAsia="es-MX"/>
              </w:rPr>
              <w:t xml:space="preserve">Sobre el transitorio, </w:t>
            </w:r>
            <w:r>
              <w:rPr>
                <w:rFonts w:ascii="Times New Roman" w:eastAsia="Times New Roman" w:hAnsi="Times New Roman" w:cs="Times New Roman"/>
                <w:bCs/>
                <w:iCs/>
                <w:sz w:val="20"/>
                <w:szCs w:val="20"/>
                <w:lang w:val="es-CR" w:eastAsia="es-MX"/>
              </w:rPr>
              <w:t>ACOP</w:t>
            </w:r>
            <w:r w:rsidRPr="00307B43">
              <w:rPr>
                <w:rFonts w:ascii="Times New Roman" w:eastAsia="Times New Roman" w:hAnsi="Times New Roman" w:cs="Times New Roman"/>
                <w:bCs/>
                <w:iCs/>
                <w:sz w:val="20"/>
                <w:szCs w:val="20"/>
                <w:lang w:val="es-CR" w:eastAsia="es-MX"/>
              </w:rPr>
              <w:t xml:space="preserve"> justifica lo siguiente: </w:t>
            </w:r>
          </w:p>
          <w:p w14:paraId="3DFCC40C" w14:textId="77777777" w:rsidR="00307B43" w:rsidRPr="00243978" w:rsidRDefault="00307B43" w:rsidP="00307B43">
            <w:pPr>
              <w:jc w:val="both"/>
              <w:rPr>
                <w:sz w:val="20"/>
                <w:szCs w:val="20"/>
              </w:rPr>
            </w:pPr>
            <w:r w:rsidRPr="00994426">
              <w:rPr>
                <w:sz w:val="20"/>
                <w:szCs w:val="20"/>
                <w:u w:val="single"/>
              </w:rPr>
              <w:t>5.1. Riesgo de materialización de pérdidas:</w:t>
            </w:r>
            <w:r>
              <w:rPr>
                <w:sz w:val="20"/>
                <w:szCs w:val="20"/>
              </w:rPr>
              <w:t xml:space="preserve"> </w:t>
            </w:r>
            <w:r w:rsidRPr="00243978">
              <w:rPr>
                <w:sz w:val="20"/>
                <w:szCs w:val="20"/>
              </w:rPr>
              <w:t>La implementación del transitorio en un plazo de 12 meses podría inducir a las Operadoras de Pensiones a deshacerse aceleradamente de títulos de renta fija para adquirir títulos de renta variable, para cumplir con la asignación de activos para las cohortes C) y D) fundamentalmente. Estos cambios en un periodo tan corto pueden llevar a una "venta forzada," es decir, a la necesidad de vender los títulos de renta fija independientemente de las condiciones del mercado.</w:t>
            </w:r>
          </w:p>
          <w:p w14:paraId="24F9D481" w14:textId="77777777" w:rsidR="00307B43" w:rsidRPr="00243978" w:rsidRDefault="00307B43" w:rsidP="00307B43">
            <w:pPr>
              <w:jc w:val="both"/>
              <w:rPr>
                <w:sz w:val="20"/>
                <w:szCs w:val="20"/>
              </w:rPr>
            </w:pPr>
            <w:r w:rsidRPr="00243978">
              <w:rPr>
                <w:sz w:val="20"/>
                <w:szCs w:val="20"/>
              </w:rPr>
              <w:t xml:space="preserve">En un escenario donde los mercados financieros atraviesan por alta volatilidad o baja liquidez —como ocurrió en 2022 o en agosto del 2024—, estas ventas forzadas pueden tener que realizarse en momentos en que los precios de los títulos de renta fija son bajos. Esto significa que las Operadoras de Pensiones podrían verse </w:t>
            </w:r>
            <w:r w:rsidRPr="00243978">
              <w:rPr>
                <w:sz w:val="20"/>
                <w:szCs w:val="20"/>
              </w:rPr>
              <w:lastRenderedPageBreak/>
              <w:t>obligadas a vender estos títulos con pérdidas significativas respecto a su valor de compra o a su valor nominal.</w:t>
            </w:r>
          </w:p>
          <w:p w14:paraId="1F5A3208" w14:textId="77777777" w:rsidR="00307B43" w:rsidRDefault="00307B43" w:rsidP="00307B43">
            <w:pPr>
              <w:jc w:val="both"/>
              <w:rPr>
                <w:sz w:val="20"/>
                <w:szCs w:val="20"/>
              </w:rPr>
            </w:pPr>
            <w:r w:rsidRPr="00243978">
              <w:rPr>
                <w:sz w:val="20"/>
                <w:szCs w:val="20"/>
              </w:rPr>
              <w:t>La venta prematura de estos activos, especialmente si se realiza en un entorno de mercado desfavorable, no solo implica aceptar precios más bajos, sino también interrumpir la estrategia de inversión a largo plazo, lo cual va en contra de la capacidad de los fondos de pensiones para generar rendimientos sostenibles en el tiempo.</w:t>
            </w:r>
          </w:p>
          <w:p w14:paraId="623E163A" w14:textId="77777777" w:rsidR="00307B43" w:rsidRPr="00243978" w:rsidRDefault="00307B43" w:rsidP="00307B43">
            <w:pPr>
              <w:jc w:val="both"/>
              <w:rPr>
                <w:sz w:val="20"/>
                <w:szCs w:val="20"/>
              </w:rPr>
            </w:pPr>
            <w:r w:rsidRPr="00243978">
              <w:rPr>
                <w:sz w:val="20"/>
                <w:szCs w:val="20"/>
              </w:rPr>
              <w:t>Las pérdidas derivadas de una venta apresurada de títulos de renta fija se traducirán en menores rendimientos para los afiliados y éstos verían cómo el valor de sus ahorros se reduce debido a estas pérdidas. Esto afecta tanto a los afiliados actuales como a los futuros, quienes pueden enfrentar un déficit en los fondos acumulados para su pensión.</w:t>
            </w:r>
          </w:p>
          <w:p w14:paraId="02E78731" w14:textId="77777777" w:rsidR="00307B43" w:rsidRPr="00994426" w:rsidRDefault="00307B43" w:rsidP="00307B43">
            <w:pPr>
              <w:jc w:val="both"/>
              <w:rPr>
                <w:sz w:val="20"/>
                <w:szCs w:val="20"/>
              </w:rPr>
            </w:pPr>
            <w:r w:rsidRPr="00243978">
              <w:rPr>
                <w:sz w:val="20"/>
                <w:szCs w:val="20"/>
              </w:rPr>
              <w:t>Una disminución en los rendimientos de los títulos de renta fija provocará una reducción del capital acumulado de los afiliados en el fondo de pensiones. Esto se debe a que las Operadoras</w:t>
            </w:r>
            <w:r>
              <w:rPr>
                <w:sz w:val="20"/>
                <w:szCs w:val="20"/>
              </w:rPr>
              <w:t xml:space="preserve"> </w:t>
            </w:r>
            <w:r w:rsidRPr="00994426">
              <w:rPr>
                <w:sz w:val="20"/>
                <w:szCs w:val="20"/>
              </w:rPr>
              <w:t>tendrán menos ingresos de estos activos para reinvertir, lo cual podría limitar la capacidad de los fondos de pensiones para crecer a lo largo del tiempo. Este impacto es particularmente grave para los afiliados más cercanos a la jubilación, quienes disponen de menos tiempo para recuperar cualquier pérdida en su capital acumulado.</w:t>
            </w:r>
          </w:p>
          <w:p w14:paraId="073A074B" w14:textId="77777777" w:rsidR="00307B43" w:rsidRPr="00994426" w:rsidRDefault="00307B43" w:rsidP="00307B43">
            <w:pPr>
              <w:jc w:val="both"/>
              <w:rPr>
                <w:sz w:val="20"/>
                <w:szCs w:val="20"/>
              </w:rPr>
            </w:pPr>
            <w:r w:rsidRPr="00994426">
              <w:rPr>
                <w:sz w:val="20"/>
                <w:szCs w:val="20"/>
              </w:rPr>
              <w:t>Además, es importante indicar que la percepción de que las Operadoras de Pensiones están vendiendo activos forzosamente, debido a plazos regulatorios estrictos puede erosionar la confianza de los afiliados en la capacidad del sistema para gestionar adecuadamente sus inversiones.</w:t>
            </w:r>
          </w:p>
          <w:p w14:paraId="58368D55" w14:textId="77777777" w:rsidR="00307B43" w:rsidRPr="00994426" w:rsidRDefault="00307B43" w:rsidP="00307B43">
            <w:pPr>
              <w:jc w:val="both"/>
              <w:rPr>
                <w:sz w:val="20"/>
                <w:szCs w:val="20"/>
              </w:rPr>
            </w:pPr>
            <w:r w:rsidRPr="00994426">
              <w:rPr>
                <w:sz w:val="20"/>
                <w:szCs w:val="20"/>
              </w:rPr>
              <w:t>También la tasa de reemplazo puede verse negativamente afectada por las pérdidas materiales en el corto plazo. Si las Operadoras venden títulos de renta fija a precios bajos, los rendimientos futuros se reducen, y esto se traduce directamente en una menor tasa de reemplazo. Los afiliados que contaban con un nivel de ingresos adecuado durante su jubilación podrían encontrarse con un déficit que no se esperaban</w:t>
            </w:r>
          </w:p>
          <w:p w14:paraId="3FD8D27B" w14:textId="77777777" w:rsidR="00307B43" w:rsidRPr="00994426" w:rsidRDefault="00307B43" w:rsidP="00307B43">
            <w:pPr>
              <w:jc w:val="both"/>
              <w:rPr>
                <w:sz w:val="20"/>
                <w:szCs w:val="20"/>
              </w:rPr>
            </w:pPr>
            <w:r w:rsidRPr="00994426">
              <w:rPr>
                <w:sz w:val="20"/>
                <w:szCs w:val="20"/>
              </w:rPr>
              <w:t xml:space="preserve">Un plazo que se pueda extender hasta 24 meses permitirá a las Operadoras de Pensiones hacer el proceso gradualmente, esperando mejores condiciones </w:t>
            </w:r>
            <w:r w:rsidRPr="00994426">
              <w:rPr>
                <w:sz w:val="20"/>
                <w:szCs w:val="20"/>
              </w:rPr>
              <w:lastRenderedPageBreak/>
              <w:t>del mercado para maximizar el valor de sus ventas. Esto reduce el riesgo de materialización de pérdidas y protege los intereses de los afiliados al asegurar que las transacciones se realicen en los mejores términos posibles.</w:t>
            </w:r>
          </w:p>
          <w:p w14:paraId="7C0F96B7" w14:textId="77777777" w:rsidR="00307B43" w:rsidRDefault="00307B43" w:rsidP="00307B43">
            <w:pPr>
              <w:jc w:val="both"/>
              <w:rPr>
                <w:sz w:val="20"/>
                <w:szCs w:val="20"/>
              </w:rPr>
            </w:pPr>
            <w:r w:rsidRPr="00994426">
              <w:rPr>
                <w:sz w:val="20"/>
                <w:szCs w:val="20"/>
              </w:rPr>
              <w:t>Al proporcionar más tiempo, las Operadoras de Pensiones pueden gestionar sus portafolios de manera más efectiva, optimizando los rendimientos y minimizando las pérdidas, lo cual beneficia directamente a los afiliados. Esta medida protegería el valor de sus inversiones, asegurando una mayor estabilidad y previsibilidad en el crecimiento de los fondos.</w:t>
            </w:r>
          </w:p>
          <w:p w14:paraId="7D15E91B" w14:textId="77777777" w:rsidR="00307B43" w:rsidRPr="00FA4572" w:rsidRDefault="00307B43" w:rsidP="00307B43">
            <w:pPr>
              <w:jc w:val="both"/>
              <w:rPr>
                <w:sz w:val="20"/>
                <w:szCs w:val="20"/>
              </w:rPr>
            </w:pPr>
            <w:r w:rsidRPr="00FA4572">
              <w:rPr>
                <w:sz w:val="20"/>
                <w:szCs w:val="20"/>
                <w:u w:val="single"/>
              </w:rPr>
              <w:t xml:space="preserve">5.2. Impacto macroeconómico y trastornos en los </w:t>
            </w:r>
            <w:proofErr w:type="spellStart"/>
            <w:r w:rsidRPr="00FA4572">
              <w:rPr>
                <w:sz w:val="20"/>
                <w:szCs w:val="20"/>
                <w:u w:val="single"/>
              </w:rPr>
              <w:t>macroprecios</w:t>
            </w:r>
            <w:proofErr w:type="spellEnd"/>
            <w:r w:rsidRPr="00FA4572">
              <w:rPr>
                <w:sz w:val="20"/>
                <w:szCs w:val="20"/>
                <w:u w:val="single"/>
              </w:rPr>
              <w:t>:</w:t>
            </w:r>
            <w:r>
              <w:t xml:space="preserve"> </w:t>
            </w:r>
            <w:r w:rsidRPr="00FA4572">
              <w:rPr>
                <w:sz w:val="20"/>
                <w:szCs w:val="20"/>
              </w:rPr>
              <w:t>Si todas las Operadoras de Pensiones deben ajustar sus portafolios simultáneamente dentro de un plazo de 12 meses, se generará una presión significativa sobre los precios de los activos nivel local y se podría afectar el tipo de cambio.</w:t>
            </w:r>
          </w:p>
          <w:p w14:paraId="4C9CB01C" w14:textId="77777777" w:rsidR="00307B43" w:rsidRPr="00FA4572" w:rsidRDefault="00307B43" w:rsidP="00307B43">
            <w:pPr>
              <w:jc w:val="both"/>
              <w:rPr>
                <w:sz w:val="20"/>
                <w:szCs w:val="20"/>
              </w:rPr>
            </w:pPr>
            <w:r w:rsidRPr="00FA4572">
              <w:rPr>
                <w:sz w:val="20"/>
                <w:szCs w:val="20"/>
              </w:rPr>
              <w:t>En Costa Rica, donde el mercado de renta variable es limitado, las Operadoras se verán obligadas a adquirir estos activos en mercados extranjeros. Esta compra masiva de títulos de renta variable en el extranjero requerirá una compra significativa de dólares, lo que puede causar una apreciación abrupta del tipo de cambio, incrementando los costos de adquisición de estos activos y afectando las políticas del Banco Central y el Gobierno actual.</w:t>
            </w:r>
          </w:p>
          <w:p w14:paraId="321D1364" w14:textId="77777777" w:rsidR="00307B43" w:rsidRDefault="00307B43" w:rsidP="00307B43">
            <w:pPr>
              <w:jc w:val="both"/>
              <w:rPr>
                <w:sz w:val="20"/>
                <w:szCs w:val="20"/>
              </w:rPr>
            </w:pPr>
            <w:r w:rsidRPr="00FA4572">
              <w:rPr>
                <w:sz w:val="20"/>
                <w:szCs w:val="20"/>
              </w:rPr>
              <w:t xml:space="preserve">Un plazo de 24 meses las Operadoras tendrían mayor capacidad para gestionar los riesgos asociados con la compra de títulos de renta variable en mercados internacionales, evitando la exposición excesiva a periodos de alta volatilidad. Además, una mayor flexibilidad temporal permitiría una adquisición más estratégica de dólares, minimizando el impacto sobre el tipo de cambio y reduciendo el riesgo de distorsiones en los </w:t>
            </w:r>
            <w:proofErr w:type="spellStart"/>
            <w:r w:rsidRPr="00FA4572">
              <w:rPr>
                <w:sz w:val="20"/>
                <w:szCs w:val="20"/>
              </w:rPr>
              <w:t>macroprecios</w:t>
            </w:r>
            <w:proofErr w:type="spellEnd"/>
            <w:r w:rsidRPr="00FA4572">
              <w:rPr>
                <w:sz w:val="20"/>
                <w:szCs w:val="20"/>
              </w:rPr>
              <w:t xml:space="preserve"> locales.</w:t>
            </w:r>
          </w:p>
          <w:p w14:paraId="207DA86A" w14:textId="77777777" w:rsidR="00307B43" w:rsidRDefault="00307B43" w:rsidP="00307B43">
            <w:pPr>
              <w:jc w:val="both"/>
              <w:rPr>
                <w:sz w:val="20"/>
                <w:szCs w:val="20"/>
              </w:rPr>
            </w:pPr>
            <w:r w:rsidRPr="002853CD">
              <w:rPr>
                <w:sz w:val="20"/>
                <w:szCs w:val="20"/>
                <w:u w:val="single"/>
              </w:rPr>
              <w:t>5.3. Alineación con mejores prácticas internacionales:</w:t>
            </w:r>
            <w:r>
              <w:rPr>
                <w:sz w:val="20"/>
                <w:szCs w:val="20"/>
              </w:rPr>
              <w:t xml:space="preserve"> </w:t>
            </w:r>
            <w:r w:rsidRPr="002853CD">
              <w:rPr>
                <w:sz w:val="20"/>
                <w:szCs w:val="20"/>
              </w:rPr>
              <w:t xml:space="preserve">Otros países han optado por plazos más largos para la transición entre el modelo inicial de inversión al de fondos generacionales, para llegar al </w:t>
            </w:r>
            <w:proofErr w:type="spellStart"/>
            <w:r w:rsidRPr="002853CD">
              <w:rPr>
                <w:sz w:val="20"/>
                <w:szCs w:val="20"/>
              </w:rPr>
              <w:t>glidepath</w:t>
            </w:r>
            <w:proofErr w:type="spellEnd"/>
            <w:r w:rsidRPr="002853CD">
              <w:rPr>
                <w:sz w:val="20"/>
                <w:szCs w:val="20"/>
              </w:rPr>
              <w:t xml:space="preserve"> definitivo.</w:t>
            </w:r>
          </w:p>
          <w:p w14:paraId="02D7679D" w14:textId="77777777" w:rsidR="00917D11" w:rsidRPr="002853CD" w:rsidRDefault="00917D11" w:rsidP="00307B43">
            <w:pPr>
              <w:jc w:val="both"/>
              <w:rPr>
                <w:sz w:val="20"/>
                <w:szCs w:val="20"/>
              </w:rPr>
            </w:pPr>
          </w:p>
          <w:p w14:paraId="0FB2B01F" w14:textId="77777777" w:rsidR="00307B43" w:rsidRDefault="00307B43" w:rsidP="00307B43">
            <w:pPr>
              <w:jc w:val="both"/>
              <w:rPr>
                <w:sz w:val="20"/>
                <w:szCs w:val="20"/>
              </w:rPr>
            </w:pPr>
            <w:r w:rsidRPr="002853CD">
              <w:rPr>
                <w:sz w:val="20"/>
                <w:szCs w:val="20"/>
              </w:rPr>
              <w:lastRenderedPageBreak/>
              <w:t>Según lo explicó Ximena González, especialista de JP Morgan, en el seminario “Fondos Generacionales: Mejores prácticas y tendencias en la industria”, realizado el 17 de junio del 2024, varios países han implementado un período de transición promedio de tres años. Este lapso no solo permite ajustar las trayectorias de inversión de manera progresiva, sino que también busca mitigar las consecuencias adversas que una transición abrupta podría tener sobre los mercados de capitales, los actores financieros y los propios afiliados. La posibilidad de extender el plazo a 24 meses alinearía a Costa Rica con estas mejores prácticas, minimizando el riesgo de trastornos macroeconómicos o de materialización de pérdidas.</w:t>
            </w:r>
          </w:p>
          <w:p w14:paraId="5D458F67" w14:textId="1AA34951" w:rsidR="00C41163" w:rsidRPr="00FA4572" w:rsidRDefault="00C41163" w:rsidP="00307B43">
            <w:pPr>
              <w:jc w:val="both"/>
              <w:rPr>
                <w:sz w:val="20"/>
                <w:szCs w:val="20"/>
              </w:rPr>
            </w:pPr>
            <w:r w:rsidRPr="00C41163">
              <w:rPr>
                <w:sz w:val="20"/>
                <w:szCs w:val="20"/>
              </w:rPr>
              <w:t>Por las razones antes expuestas, se solicita modificar el transitorio del oficio SP-A-267-2024, para permitir la posibilidad de extender el plazo hasta 24 meses, lo cual podría ser autorizado por la Superintendencia de Pensiones (SUPEN) si lo justifica una Operadora de Pensiones, con un análisis técnico y financiero riguroso, donde demuestre que las condiciones del mercado no son favorables para la compra o venta de instrumentos de renta fija y variable. Asimismo, la extensión del plazo podría concederse, también, si la Operadora de Pensiones demuestra que alguna acción de estas puede afectar negativamente el patrimonio de los afiliados.</w:t>
            </w:r>
          </w:p>
          <w:p w14:paraId="404BB33E" w14:textId="77777777" w:rsidR="00307B43" w:rsidRDefault="00307B43" w:rsidP="00857730">
            <w:pPr>
              <w:jc w:val="both"/>
              <w:rPr>
                <w:bCs/>
                <w:iCs/>
                <w:sz w:val="20"/>
                <w:szCs w:val="20"/>
              </w:rPr>
            </w:pPr>
          </w:p>
          <w:p w14:paraId="14C45059" w14:textId="77777777" w:rsidR="0043399E" w:rsidRDefault="0043399E" w:rsidP="0043399E">
            <w:pPr>
              <w:pStyle w:val="paragraph"/>
              <w:spacing w:before="0" w:beforeAutospacing="0" w:after="0" w:afterAutospacing="0"/>
              <w:jc w:val="both"/>
              <w:textAlignment w:val="baseline"/>
              <w:rPr>
                <w:rStyle w:val="eop"/>
                <w:color w:val="4471C4"/>
                <w:sz w:val="20"/>
                <w:szCs w:val="20"/>
              </w:rPr>
            </w:pPr>
            <w:r>
              <w:rPr>
                <w:rStyle w:val="normaltextrun"/>
                <w:color w:val="4471C4"/>
                <w:sz w:val="20"/>
                <w:szCs w:val="20"/>
              </w:rPr>
              <w:t>Respuesta:</w:t>
            </w:r>
            <w:r>
              <w:rPr>
                <w:rStyle w:val="eop"/>
                <w:color w:val="4471C4"/>
                <w:sz w:val="20"/>
                <w:szCs w:val="20"/>
              </w:rPr>
              <w:t> </w:t>
            </w:r>
          </w:p>
          <w:p w14:paraId="0E2EE582" w14:textId="4F747DC0" w:rsidR="00ED772A" w:rsidRDefault="00ED772A" w:rsidP="00ED772A">
            <w:pPr>
              <w:pStyle w:val="paragraph"/>
              <w:spacing w:before="0" w:beforeAutospacing="0" w:after="0" w:afterAutospacing="0"/>
              <w:jc w:val="both"/>
              <w:textAlignment w:val="baseline"/>
              <w:rPr>
                <w:rStyle w:val="normaltextrun"/>
                <w:color w:val="4471C4"/>
                <w:sz w:val="20"/>
                <w:szCs w:val="20"/>
              </w:rPr>
            </w:pPr>
            <w:r>
              <w:rPr>
                <w:rStyle w:val="eop"/>
                <w:color w:val="4471C4"/>
                <w:sz w:val="20"/>
                <w:szCs w:val="20"/>
              </w:rPr>
              <w:t xml:space="preserve">Cálculos realizados por Supen, con apoyo de la información provista por el sector, sugieren la posibilidad de realizar ajustes a la trayectoria, que, dependiendo de diferentes supuestos (vencimientos, flujo de caja neto, disponibilidades, entre otros), pueden ser en plazos inferiores a los 12 meses. Esto, sin contar con el periodo de preparación de 15 meses otorgado en la reglamentación para el inicio en operación de los fondos generacionales, lo que da finalmente 33 meses en total, resultado </w:t>
            </w:r>
            <w:r w:rsidR="00497858">
              <w:rPr>
                <w:rStyle w:val="eop"/>
                <w:color w:val="4471C4"/>
                <w:sz w:val="20"/>
                <w:szCs w:val="20"/>
              </w:rPr>
              <w:t>superior</w:t>
            </w:r>
            <w:r>
              <w:rPr>
                <w:rStyle w:val="eop"/>
                <w:color w:val="4471C4"/>
                <w:sz w:val="20"/>
                <w:szCs w:val="20"/>
              </w:rPr>
              <w:t xml:space="preserve"> a los </w:t>
            </w:r>
            <w:r w:rsidR="00497858">
              <w:rPr>
                <w:rStyle w:val="eop"/>
                <w:color w:val="4471C4"/>
                <w:sz w:val="20"/>
                <w:szCs w:val="20"/>
              </w:rPr>
              <w:t>dos</w:t>
            </w:r>
            <w:r>
              <w:rPr>
                <w:rStyle w:val="eop"/>
                <w:color w:val="4471C4"/>
                <w:sz w:val="20"/>
                <w:szCs w:val="20"/>
              </w:rPr>
              <w:t xml:space="preserve"> años mencionados.</w:t>
            </w:r>
          </w:p>
          <w:p w14:paraId="38275F7B" w14:textId="77777777" w:rsidR="00ED772A" w:rsidRDefault="00ED772A" w:rsidP="00ED772A">
            <w:pPr>
              <w:pStyle w:val="paragraph"/>
              <w:spacing w:before="0" w:beforeAutospacing="0" w:after="0" w:afterAutospacing="0"/>
              <w:jc w:val="both"/>
              <w:textAlignment w:val="baseline"/>
              <w:rPr>
                <w:rStyle w:val="normaltextrun"/>
                <w:color w:val="4471C4"/>
                <w:sz w:val="20"/>
                <w:szCs w:val="20"/>
              </w:rPr>
            </w:pPr>
          </w:p>
          <w:p w14:paraId="5986B9F3" w14:textId="351676BD" w:rsidR="00ED772A" w:rsidRDefault="009C0FCE" w:rsidP="00ED772A">
            <w:pPr>
              <w:pStyle w:val="paragraph"/>
              <w:spacing w:before="0" w:beforeAutospacing="0" w:after="0" w:afterAutospacing="0"/>
              <w:jc w:val="both"/>
              <w:textAlignment w:val="baseline"/>
              <w:rPr>
                <w:rStyle w:val="eop"/>
                <w:color w:val="4471C4"/>
                <w:sz w:val="20"/>
                <w:szCs w:val="20"/>
              </w:rPr>
            </w:pPr>
            <w:r>
              <w:rPr>
                <w:rStyle w:val="normaltextrun"/>
                <w:color w:val="4471C4"/>
                <w:sz w:val="20"/>
                <w:szCs w:val="20"/>
              </w:rPr>
              <w:t>A pesar de lo anterior, con una visión prudencial y considerando que pueden existir estrategias particulares para la implementación de los fondos generacionales,</w:t>
            </w:r>
            <w:r w:rsidRPr="00B50468">
              <w:rPr>
                <w:rStyle w:val="normaltextrun"/>
                <w:color w:val="4471C4"/>
                <w:sz w:val="20"/>
                <w:szCs w:val="20"/>
              </w:rPr>
              <w:t xml:space="preserve"> </w:t>
            </w:r>
            <w:r>
              <w:rPr>
                <w:rStyle w:val="normaltextrun"/>
                <w:color w:val="4471C4"/>
                <w:sz w:val="20"/>
                <w:szCs w:val="20"/>
              </w:rPr>
              <w:t>es juicioso ampliar</w:t>
            </w:r>
            <w:r w:rsidRPr="00B50468">
              <w:rPr>
                <w:rStyle w:val="normaltextrun"/>
                <w:color w:val="4471C4"/>
                <w:sz w:val="20"/>
                <w:szCs w:val="20"/>
              </w:rPr>
              <w:t xml:space="preserve"> el plazo originalmente planteado</w:t>
            </w:r>
            <w:r>
              <w:rPr>
                <w:rStyle w:val="normaltextrun"/>
                <w:color w:val="4471C4"/>
                <w:sz w:val="20"/>
                <w:szCs w:val="20"/>
              </w:rPr>
              <w:t xml:space="preserve">. </w:t>
            </w:r>
            <w:r w:rsidR="00ED772A">
              <w:rPr>
                <w:rStyle w:val="normaltextrun"/>
                <w:color w:val="4471C4"/>
                <w:sz w:val="20"/>
                <w:szCs w:val="20"/>
              </w:rPr>
              <w:t xml:space="preserve"> </w:t>
            </w:r>
          </w:p>
          <w:p w14:paraId="209893B8" w14:textId="77777777" w:rsidR="00ED772A" w:rsidRDefault="00ED772A" w:rsidP="00ED772A">
            <w:pPr>
              <w:pStyle w:val="paragraph"/>
              <w:spacing w:before="0" w:beforeAutospacing="0" w:after="0" w:afterAutospacing="0"/>
              <w:jc w:val="both"/>
              <w:textAlignment w:val="baseline"/>
              <w:rPr>
                <w:rStyle w:val="eop"/>
                <w:color w:val="4471C4"/>
                <w:sz w:val="20"/>
                <w:szCs w:val="20"/>
              </w:rPr>
            </w:pPr>
          </w:p>
          <w:p w14:paraId="4DA00ECB" w14:textId="2C05626A" w:rsidR="0043399E" w:rsidRPr="002B3E2B" w:rsidRDefault="00ED772A" w:rsidP="00ED772A">
            <w:pPr>
              <w:pStyle w:val="paragraph"/>
              <w:spacing w:before="0" w:beforeAutospacing="0" w:after="0" w:afterAutospacing="0"/>
              <w:jc w:val="both"/>
              <w:textAlignment w:val="baseline"/>
              <w:rPr>
                <w:rFonts w:ascii="Segoe UI" w:hAnsi="Segoe UI" w:cs="Segoe UI"/>
                <w:sz w:val="18"/>
                <w:szCs w:val="18"/>
              </w:rPr>
            </w:pPr>
            <w:r>
              <w:rPr>
                <w:rStyle w:val="normaltextrun"/>
                <w:color w:val="4471C4"/>
                <w:sz w:val="20"/>
                <w:szCs w:val="20"/>
              </w:rPr>
              <w:lastRenderedPageBreak/>
              <w:t>Se aceptan parcialmente las recomendaciones de las entidades y se amplía el plazo de este transitorio hasta 18 meses, sin dejar de notar que plazos mayores pueden dificultar que los beneficios de la propuesta se materialicen en la gestión de ahorros de los trabajadores, al no reducir oportunamente los niveles de riesgo de los recursos gestionados.</w:t>
            </w:r>
            <w:r>
              <w:rPr>
                <w:rStyle w:val="eop"/>
                <w:color w:val="4471C4"/>
                <w:sz w:val="20"/>
                <w:szCs w:val="20"/>
              </w:rPr>
              <w:t> </w:t>
            </w:r>
            <w:r w:rsidR="00497858">
              <w:rPr>
                <w:rStyle w:val="eop"/>
                <w:color w:val="4471C4"/>
                <w:sz w:val="20"/>
                <w:szCs w:val="20"/>
              </w:rPr>
              <w:t xml:space="preserve"> </w:t>
            </w:r>
          </w:p>
        </w:tc>
        <w:tc>
          <w:tcPr>
            <w:tcW w:w="1235" w:type="pct"/>
            <w:shd w:val="clear" w:color="auto" w:fill="FFFFFF" w:themeFill="background1"/>
          </w:tcPr>
          <w:p w14:paraId="10647391" w14:textId="77777777" w:rsidR="00E254C5" w:rsidRPr="00BD5D64" w:rsidRDefault="00E254C5" w:rsidP="00D858EB">
            <w:pPr>
              <w:jc w:val="both"/>
              <w:rPr>
                <w:rFonts w:ascii="Arial" w:hAnsi="Arial" w:cs="Arial"/>
                <w:b/>
                <w:bCs/>
                <w:sz w:val="20"/>
                <w:szCs w:val="20"/>
              </w:rPr>
            </w:pPr>
          </w:p>
        </w:tc>
      </w:tr>
      <w:tr w:rsidR="005F5991" w:rsidRPr="00BD5D64" w14:paraId="70A54670" w14:textId="77777777" w:rsidTr="5D5FBA91">
        <w:trPr>
          <w:trHeight w:val="410"/>
        </w:trPr>
        <w:tc>
          <w:tcPr>
            <w:tcW w:w="1264" w:type="pct"/>
            <w:shd w:val="clear" w:color="auto" w:fill="FFFFFF" w:themeFill="background1"/>
          </w:tcPr>
          <w:p w14:paraId="6FE2635B" w14:textId="77777777" w:rsidR="005F5991" w:rsidRPr="00A17857" w:rsidRDefault="005F5991" w:rsidP="00D858EB">
            <w:pPr>
              <w:spacing w:line="276" w:lineRule="auto"/>
              <w:jc w:val="both"/>
              <w:rPr>
                <w:sz w:val="20"/>
                <w:szCs w:val="20"/>
              </w:rPr>
            </w:pPr>
          </w:p>
        </w:tc>
        <w:tc>
          <w:tcPr>
            <w:tcW w:w="1265" w:type="pct"/>
            <w:shd w:val="clear" w:color="auto" w:fill="FFFFFF" w:themeFill="background1"/>
          </w:tcPr>
          <w:p w14:paraId="5B0A9085" w14:textId="77777777" w:rsidR="005F5991" w:rsidRPr="00A17857" w:rsidRDefault="005F5991" w:rsidP="00D858EB">
            <w:pPr>
              <w:jc w:val="both"/>
              <w:rPr>
                <w:b/>
                <w:bCs/>
                <w:i/>
                <w:iCs/>
                <w:sz w:val="20"/>
                <w:szCs w:val="20"/>
              </w:rPr>
            </w:pPr>
          </w:p>
        </w:tc>
        <w:tc>
          <w:tcPr>
            <w:tcW w:w="1236" w:type="pct"/>
            <w:shd w:val="clear" w:color="auto" w:fill="FFFFFF" w:themeFill="background1"/>
          </w:tcPr>
          <w:p w14:paraId="564D0C7A" w14:textId="606DC33A" w:rsidR="005F5991" w:rsidRDefault="005F5991" w:rsidP="00322869">
            <w:pPr>
              <w:jc w:val="both"/>
              <w:rPr>
                <w:bCs/>
                <w:iCs/>
                <w:sz w:val="20"/>
                <w:szCs w:val="20"/>
                <w:u w:val="single"/>
              </w:rPr>
            </w:pPr>
            <w:r>
              <w:rPr>
                <w:b/>
                <w:iCs/>
                <w:sz w:val="20"/>
                <w:szCs w:val="20"/>
              </w:rPr>
              <w:t>ACOP</w:t>
            </w:r>
            <w:r w:rsidR="002F7D11">
              <w:rPr>
                <w:b/>
                <w:iCs/>
                <w:sz w:val="20"/>
                <w:szCs w:val="20"/>
              </w:rPr>
              <w:t xml:space="preserve"> (</w:t>
            </w:r>
            <w:r w:rsidR="002F7D11" w:rsidRPr="00855265">
              <w:rPr>
                <w:sz w:val="23"/>
                <w:szCs w:val="23"/>
              </w:rPr>
              <w:t>ACOP-037-2024</w:t>
            </w:r>
            <w:r w:rsidR="002F7D11">
              <w:rPr>
                <w:sz w:val="23"/>
                <w:szCs w:val="23"/>
              </w:rPr>
              <w:t>)</w:t>
            </w:r>
            <w:r>
              <w:rPr>
                <w:b/>
                <w:iCs/>
                <w:sz w:val="20"/>
                <w:szCs w:val="20"/>
              </w:rPr>
              <w:t xml:space="preserve">: </w:t>
            </w:r>
            <w:proofErr w:type="gramStart"/>
            <w:r w:rsidR="00B53556" w:rsidRPr="00B53556">
              <w:rPr>
                <w:bCs/>
                <w:iCs/>
                <w:sz w:val="20"/>
                <w:szCs w:val="20"/>
                <w:u w:val="single"/>
              </w:rPr>
              <w:t>VI.-</w:t>
            </w:r>
            <w:proofErr w:type="gramEnd"/>
            <w:r w:rsidR="00B53556" w:rsidRPr="00B53556">
              <w:rPr>
                <w:bCs/>
                <w:iCs/>
                <w:sz w:val="20"/>
                <w:szCs w:val="20"/>
                <w:u w:val="single"/>
              </w:rPr>
              <w:t xml:space="preserve"> Comunicación a los afiliados sobre el paso de ROPC a fondos generacionales</w:t>
            </w:r>
            <w:r w:rsidR="00B53556">
              <w:rPr>
                <w:bCs/>
                <w:iCs/>
                <w:sz w:val="20"/>
                <w:szCs w:val="20"/>
                <w:u w:val="single"/>
              </w:rPr>
              <w:t>.</w:t>
            </w:r>
          </w:p>
          <w:p w14:paraId="0E0F4536" w14:textId="77777777" w:rsidR="00893D72" w:rsidRPr="00893D72" w:rsidRDefault="00893D72" w:rsidP="00893D72">
            <w:pPr>
              <w:jc w:val="both"/>
              <w:rPr>
                <w:bCs/>
                <w:iCs/>
                <w:sz w:val="20"/>
                <w:szCs w:val="20"/>
              </w:rPr>
            </w:pPr>
            <w:r w:rsidRPr="00893D72">
              <w:rPr>
                <w:bCs/>
                <w:iCs/>
                <w:sz w:val="20"/>
                <w:szCs w:val="20"/>
              </w:rPr>
              <w:t>A pesar de que este aspecto no forma parte directa de la consulta, consideramos fundamental externar a la Superintendencia la recomendación de planificar, cuidadosamente, la forma en que se comunicará a los afiliados, en su estado de cuenta, el cambio del ROPC, en su concepto tradicional, al nuevo esquema de fondos generacionales.</w:t>
            </w:r>
          </w:p>
          <w:p w14:paraId="14542BD1" w14:textId="77777777" w:rsidR="00B53556" w:rsidRDefault="00893D72" w:rsidP="00893D72">
            <w:pPr>
              <w:jc w:val="both"/>
              <w:rPr>
                <w:bCs/>
                <w:iCs/>
                <w:sz w:val="20"/>
                <w:szCs w:val="20"/>
              </w:rPr>
            </w:pPr>
            <w:r w:rsidRPr="00893D72">
              <w:rPr>
                <w:bCs/>
                <w:iCs/>
                <w:sz w:val="20"/>
                <w:szCs w:val="20"/>
              </w:rPr>
              <w:t>Es vital que esta comunicación sea clara, transparente y, sobre todo, tranquilizadora, evitando mensajes que puedan generar alarma o confusión. De ninguna manera, se deben enviar comunicaciones que puedan interpretarse erróneamente por el afiliado, como una pérdida de sus ahorros, ya que esto podría desencadenar una reacción negativa innecesaria y pondría en riesgo la reputación del sistema de pensiones en su conjunto. Esta percepción equivocada podría resultar en un aumento de consultas, reclamos y una disminución de la confianza en el sistema, afectando la relación de las Operadoras con sus afiliados.</w:t>
            </w:r>
          </w:p>
          <w:p w14:paraId="69254990" w14:textId="77777777" w:rsidR="0039136E" w:rsidRDefault="0039136E" w:rsidP="00893D72">
            <w:pPr>
              <w:jc w:val="both"/>
              <w:rPr>
                <w:bCs/>
                <w:iCs/>
                <w:sz w:val="20"/>
                <w:szCs w:val="20"/>
              </w:rPr>
            </w:pPr>
            <w:r w:rsidRPr="0039136E">
              <w:rPr>
                <w:bCs/>
                <w:iCs/>
                <w:sz w:val="20"/>
                <w:szCs w:val="20"/>
              </w:rPr>
              <w:t>Recomendamos, para el día de envío del estado de cuenta, una estrategia de comunicación que deje claro que los ahorros de los afiliados se mantienen íntegros y que la transición a fondos generacionales es un proceso diseñado para mejorar la gestión de sus inversiones, alineándolas con su perfil de riesgo y su horizonte de tiempo para la jubilación. Sugerimos que cualquier notificación que se envíe se estructure de manera que primero se explique el propósito y los beneficios de la transición, antes de cualquier mención a estados de cuenta. Esto ayudará a preparar a los afiliados para comprender el contexto y reducir cualquier posible temor o preocupación ya que, para muchos afiliados, ese día va a ser el primer día que escuchen hablar de fondos generacionales.</w:t>
            </w:r>
          </w:p>
          <w:p w14:paraId="55780C5D" w14:textId="77777777" w:rsidR="0043399E" w:rsidRDefault="0043399E" w:rsidP="00893D72">
            <w:pPr>
              <w:jc w:val="both"/>
              <w:rPr>
                <w:bCs/>
                <w:iCs/>
                <w:sz w:val="20"/>
                <w:szCs w:val="20"/>
              </w:rPr>
            </w:pPr>
          </w:p>
          <w:p w14:paraId="641E51F7" w14:textId="77777777" w:rsidR="0043399E" w:rsidRDefault="0043399E" w:rsidP="0043399E">
            <w:pPr>
              <w:pStyle w:val="paragraph"/>
              <w:spacing w:before="0" w:beforeAutospacing="0" w:after="0" w:afterAutospacing="0"/>
              <w:jc w:val="both"/>
              <w:textAlignment w:val="baseline"/>
              <w:rPr>
                <w:rFonts w:ascii="Segoe UI" w:hAnsi="Segoe UI" w:cs="Segoe UI"/>
                <w:sz w:val="18"/>
                <w:szCs w:val="18"/>
              </w:rPr>
            </w:pPr>
            <w:r>
              <w:rPr>
                <w:rStyle w:val="normaltextrun"/>
                <w:color w:val="4471C4"/>
                <w:sz w:val="20"/>
                <w:szCs w:val="20"/>
              </w:rPr>
              <w:t>Respuesta:</w:t>
            </w:r>
            <w:r>
              <w:rPr>
                <w:rStyle w:val="eop"/>
                <w:color w:val="4471C4"/>
                <w:sz w:val="20"/>
                <w:szCs w:val="20"/>
              </w:rPr>
              <w:t> </w:t>
            </w:r>
          </w:p>
          <w:p w14:paraId="3F571EE6" w14:textId="469588F8" w:rsidR="00F36E32" w:rsidRPr="00874E50" w:rsidRDefault="000F03A7" w:rsidP="00874E50">
            <w:pPr>
              <w:pStyle w:val="paragraph"/>
              <w:spacing w:before="0" w:beforeAutospacing="0" w:after="0" w:afterAutospacing="0"/>
              <w:jc w:val="both"/>
              <w:textAlignment w:val="baseline"/>
              <w:rPr>
                <w:rFonts w:ascii="Segoe UI" w:hAnsi="Segoe UI" w:cs="Segoe UI"/>
                <w:sz w:val="18"/>
                <w:szCs w:val="18"/>
              </w:rPr>
            </w:pPr>
            <w:r>
              <w:rPr>
                <w:rStyle w:val="normaltextrun"/>
                <w:color w:val="4471C4"/>
                <w:sz w:val="20"/>
                <w:szCs w:val="20"/>
              </w:rPr>
              <w:t xml:space="preserve">La observación no forma parte del objeto de la consulta. </w:t>
            </w:r>
            <w:r w:rsidR="006E33E5">
              <w:rPr>
                <w:rStyle w:val="normaltextrun"/>
                <w:color w:val="4471C4"/>
                <w:sz w:val="20"/>
                <w:szCs w:val="20"/>
              </w:rPr>
              <w:t>Se toma nota.</w:t>
            </w:r>
          </w:p>
        </w:tc>
        <w:tc>
          <w:tcPr>
            <w:tcW w:w="1235" w:type="pct"/>
            <w:shd w:val="clear" w:color="auto" w:fill="FFFFFF" w:themeFill="background1"/>
          </w:tcPr>
          <w:p w14:paraId="0C493C91" w14:textId="77777777" w:rsidR="005F5991" w:rsidRPr="00BD5D64" w:rsidRDefault="005F5991" w:rsidP="00D858EB">
            <w:pPr>
              <w:jc w:val="both"/>
              <w:rPr>
                <w:rFonts w:ascii="Arial" w:hAnsi="Arial" w:cs="Arial"/>
                <w:b/>
                <w:bCs/>
                <w:sz w:val="20"/>
                <w:szCs w:val="20"/>
              </w:rPr>
            </w:pPr>
          </w:p>
        </w:tc>
      </w:tr>
    </w:tbl>
    <w:p w14:paraId="4A331FFA" w14:textId="5E6A157F" w:rsidR="00E06CA2" w:rsidRDefault="00E06CA2" w:rsidP="00E06CA2"/>
    <w:p w14:paraId="5FD441D9" w14:textId="77777777" w:rsidR="005A6F09" w:rsidRDefault="005A6F09" w:rsidP="00E06CA2"/>
    <w:p w14:paraId="26C790D7" w14:textId="4147443A" w:rsidR="00BB48A5" w:rsidRPr="00B036D0" w:rsidRDefault="00B036D0" w:rsidP="00E06CA2">
      <w:pPr>
        <w:rPr>
          <w:b/>
          <w:bCs/>
        </w:rPr>
      </w:pPr>
      <w:r w:rsidRPr="00B036D0">
        <w:rPr>
          <w:b/>
          <w:bCs/>
        </w:rPr>
        <w:t xml:space="preserve">Anexos: </w:t>
      </w:r>
    </w:p>
    <w:p w14:paraId="3F735922" w14:textId="77777777" w:rsidR="00B036D0" w:rsidRPr="00B036D0" w:rsidRDefault="00B036D0" w:rsidP="00E06CA2">
      <w:pPr>
        <w:rPr>
          <w:b/>
          <w:bCs/>
        </w:rPr>
      </w:pPr>
    </w:p>
    <w:p w14:paraId="7DDEBC8B" w14:textId="21C8ED52" w:rsidR="00B036D0" w:rsidRPr="006D5034" w:rsidRDefault="00B036D0" w:rsidP="00E06CA2">
      <w:pPr>
        <w:rPr>
          <w:b/>
          <w:bCs/>
        </w:rPr>
      </w:pPr>
      <w:r w:rsidRPr="006D5034">
        <w:rPr>
          <w:b/>
          <w:bCs/>
        </w:rPr>
        <w:t>Oficio de</w:t>
      </w:r>
      <w:r w:rsidR="003E737A">
        <w:rPr>
          <w:b/>
          <w:bCs/>
        </w:rPr>
        <w:t xml:space="preserve"> remisión del texto en</w:t>
      </w:r>
      <w:r w:rsidRPr="006D5034">
        <w:rPr>
          <w:b/>
          <w:bCs/>
        </w:rPr>
        <w:t xml:space="preserve"> consulta externa: </w:t>
      </w:r>
    </w:p>
    <w:p w14:paraId="12F20BB0" w14:textId="77777777" w:rsidR="004A28A1" w:rsidRDefault="004A28A1" w:rsidP="00E06CA2"/>
    <w:bookmarkStart w:id="0" w:name="_MON_1788339286"/>
    <w:bookmarkEnd w:id="0"/>
    <w:p w14:paraId="3585156C" w14:textId="19AED18F" w:rsidR="00B036D0" w:rsidRDefault="004A28A1" w:rsidP="00E06CA2">
      <w:r>
        <w:object w:dxaOrig="1508" w:dyaOrig="983" w14:anchorId="0429A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76.2pt;height:49.8pt" o:ole="">
            <v:imagedata r:id="rId11" o:title=""/>
          </v:shape>
          <o:OLEObject Type="Embed" ProgID="Word.Document.12" ShapeID="_x0000_i1037" DrawAspect="Icon" ObjectID="_1791119008" r:id="rId12">
            <o:FieldCodes>\s</o:FieldCodes>
          </o:OLEObject>
        </w:object>
      </w:r>
      <w:r w:rsidR="00F12D75">
        <w:tab/>
      </w:r>
      <w:r w:rsidR="00F12D75">
        <w:tab/>
      </w:r>
      <w:bookmarkStart w:id="1" w:name="_MON_1788340434"/>
      <w:bookmarkEnd w:id="1"/>
      <w:r w:rsidR="00F12D75">
        <w:object w:dxaOrig="1508" w:dyaOrig="983" w14:anchorId="62AA0A14">
          <v:shape id="_x0000_i1038" type="#_x0000_t75" style="width:76.2pt;height:49.8pt" o:ole="">
            <v:imagedata r:id="rId13" o:title=""/>
          </v:shape>
          <o:OLEObject Type="Embed" ProgID="Word.Document.12" ShapeID="_x0000_i1038" DrawAspect="Icon" ObjectID="_1791119009" r:id="rId14">
            <o:FieldCodes>\s</o:FieldCodes>
          </o:OLEObject>
        </w:object>
      </w:r>
    </w:p>
    <w:p w14:paraId="600A71B8" w14:textId="0BB98659" w:rsidR="00BB48A5" w:rsidRDefault="00BB48A5" w:rsidP="00E06CA2"/>
    <w:sectPr w:rsidR="00BB48A5" w:rsidSect="009C0E4C">
      <w:headerReference w:type="even" r:id="rId15"/>
      <w:headerReference w:type="default" r:id="rId16"/>
      <w:footerReference w:type="even" r:id="rId17"/>
      <w:footerReference w:type="default" r:id="rId18"/>
      <w:headerReference w:type="first" r:id="rId19"/>
      <w:footerReference w:type="first" r:id="rId20"/>
      <w:pgSz w:w="20160" w:h="12240" w:orient="landscape" w:code="5"/>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856F54" w14:textId="77777777" w:rsidR="000D4389" w:rsidRDefault="000D4389" w:rsidP="00730F2B">
      <w:r>
        <w:separator/>
      </w:r>
    </w:p>
  </w:endnote>
  <w:endnote w:type="continuationSeparator" w:id="0">
    <w:p w14:paraId="5A6D85B9" w14:textId="77777777" w:rsidR="000D4389" w:rsidRDefault="000D4389" w:rsidP="00730F2B">
      <w:r>
        <w:continuationSeparator/>
      </w:r>
    </w:p>
  </w:endnote>
  <w:endnote w:type="continuationNotice" w:id="1">
    <w:p w14:paraId="18222BA0" w14:textId="77777777" w:rsidR="000D4389" w:rsidRDefault="000D43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23C0E" w14:textId="77777777" w:rsidR="001D452B" w:rsidRDefault="001D452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59A05" w14:textId="134700E0" w:rsidR="001D452B" w:rsidRDefault="001D452B">
    <w:pPr>
      <w:pStyle w:val="Piedepgina"/>
    </w:pPr>
    <w:r>
      <w:rPr>
        <w:noProof/>
      </w:rPr>
      <mc:AlternateContent>
        <mc:Choice Requires="wps">
          <w:drawing>
            <wp:anchor distT="0" distB="0" distL="114300" distR="114300" simplePos="0" relativeHeight="251658240" behindDoc="0" locked="0" layoutInCell="0" allowOverlap="1" wp14:anchorId="25F94048" wp14:editId="275C0FF7">
              <wp:simplePos x="0" y="0"/>
              <wp:positionH relativeFrom="page">
                <wp:posOffset>0</wp:posOffset>
              </wp:positionH>
              <wp:positionV relativeFrom="page">
                <wp:posOffset>7308215</wp:posOffset>
              </wp:positionV>
              <wp:extent cx="12801600" cy="273050"/>
              <wp:effectExtent l="0" t="0" r="0" b="12700"/>
              <wp:wrapNone/>
              <wp:docPr id="1" name="MSIPCMcc084f118d97c3bdcd0e89da" descr="{&quot;HashCode&quot;:1186230005,&quot;Height&quot;:612.0,&quot;Width&quot;:1008.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28016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75E92A" w14:textId="4FCAE28B" w:rsidR="001D452B" w:rsidRPr="001D452B" w:rsidRDefault="001D452B" w:rsidP="001D452B">
                          <w:pPr>
                            <w:jc w:val="center"/>
                            <w:rPr>
                              <w:rFonts w:ascii="Calibri" w:hAnsi="Calibri" w:cs="Calibri"/>
                              <w:color w:val="000000"/>
                              <w:sz w:val="20"/>
                            </w:rPr>
                          </w:pPr>
                          <w:r w:rsidRPr="001D452B">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5F94048" id="_x0000_t202" coordsize="21600,21600" o:spt="202" path="m,l,21600r21600,l21600,xe">
              <v:stroke joinstyle="miter"/>
              <v:path gradientshapeok="t" o:connecttype="rect"/>
            </v:shapetype>
            <v:shape id="MSIPCMcc084f118d97c3bdcd0e89da" o:spid="_x0000_s1026" type="#_x0000_t202" alt="{&quot;HashCode&quot;:1186230005,&quot;Height&quot;:612.0,&quot;Width&quot;:1008.0,&quot;Placement&quot;:&quot;Footer&quot;,&quot;Index&quot;:&quot;Primary&quot;,&quot;Section&quot;:1,&quot;Top&quot;:0.0,&quot;Left&quot;:0.0}" style="position:absolute;margin-left:0;margin-top:575.45pt;width:14in;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" o:allowincell="f" filled="f" stroked="f" strokeweight=".5pt">
              <v:textbox inset=",0,,0">
                <w:txbxContent>
                  <w:p w14:paraId="4F75E92A" w14:textId="4FCAE28B" w:rsidR="001D452B" w:rsidRPr="001D452B" w:rsidRDefault="001D452B" w:rsidP="001D452B">
                    <w:pPr>
                      <w:jc w:val="center"/>
                      <w:rPr>
                        <w:rFonts w:ascii="Calibri" w:hAnsi="Calibri" w:cs="Calibri"/>
                        <w:color w:val="000000"/>
                        <w:sz w:val="20"/>
                      </w:rPr>
                    </w:pPr>
                    <w:r w:rsidRPr="001D452B">
                      <w:rPr>
                        <w:rFonts w:ascii="Calibri" w:hAnsi="Calibri" w:cs="Calibri"/>
                        <w:color w:val="000000"/>
                        <w:sz w:val="20"/>
                      </w:rPr>
                      <w:t>Uso Interno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BD8F2" w14:textId="77777777" w:rsidR="001D452B" w:rsidRDefault="001D45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E34C46" w14:textId="77777777" w:rsidR="000D4389" w:rsidRDefault="000D4389" w:rsidP="00730F2B">
      <w:r>
        <w:separator/>
      </w:r>
    </w:p>
  </w:footnote>
  <w:footnote w:type="continuationSeparator" w:id="0">
    <w:p w14:paraId="07A6F466" w14:textId="77777777" w:rsidR="000D4389" w:rsidRDefault="000D4389" w:rsidP="00730F2B">
      <w:r>
        <w:continuationSeparator/>
      </w:r>
    </w:p>
  </w:footnote>
  <w:footnote w:type="continuationNotice" w:id="1">
    <w:p w14:paraId="6B189CA5" w14:textId="77777777" w:rsidR="000D4389" w:rsidRDefault="000D43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71D25" w14:textId="77777777" w:rsidR="001D452B" w:rsidRDefault="001D452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814E0" w14:textId="77777777" w:rsidR="001D452B" w:rsidRDefault="001D452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CE326" w14:textId="77777777" w:rsidR="001D452B" w:rsidRDefault="001D452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7123D"/>
    <w:multiLevelType w:val="hybridMultilevel"/>
    <w:tmpl w:val="E7A444A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E2D0780"/>
    <w:multiLevelType w:val="hybridMultilevel"/>
    <w:tmpl w:val="4CF029AE"/>
    <w:lvl w:ilvl="0" w:tplc="76CC0E56">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F2A7A45"/>
    <w:multiLevelType w:val="hybridMultilevel"/>
    <w:tmpl w:val="AF9A3360"/>
    <w:lvl w:ilvl="0" w:tplc="232C96E8">
      <w:start w:val="2"/>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59C2F4E"/>
    <w:multiLevelType w:val="hybridMultilevel"/>
    <w:tmpl w:val="2E6A00E8"/>
    <w:lvl w:ilvl="0" w:tplc="CA62908E">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FE66943"/>
    <w:multiLevelType w:val="multilevel"/>
    <w:tmpl w:val="340CF7B6"/>
    <w:lvl w:ilvl="0">
      <w:start w:val="1"/>
      <w:numFmt w:val="decimal"/>
      <w:pStyle w:val="Ttulo1"/>
      <w:lvlText w:val="%1."/>
      <w:lvlJc w:val="left"/>
      <w:pPr>
        <w:tabs>
          <w:tab w:val="num" w:pos="720"/>
        </w:tabs>
        <w:ind w:left="720" w:hanging="720"/>
      </w:pPr>
      <w:rPr>
        <w:rFonts w:ascii="Arial" w:hAnsi="Arial" w:hint="default"/>
        <w:b/>
        <w:i w:val="0"/>
        <w:vanish w:val="0"/>
        <w:color w:val="010000"/>
        <w:sz w:val="22"/>
        <w:u w:val="none"/>
      </w:rPr>
    </w:lvl>
    <w:lvl w:ilvl="1">
      <w:start w:val="1"/>
      <w:numFmt w:val="decimal"/>
      <w:pStyle w:val="Ttulo2"/>
      <w:lvlText w:val="%1.%2"/>
      <w:lvlJc w:val="left"/>
      <w:pPr>
        <w:tabs>
          <w:tab w:val="num" w:pos="5670"/>
        </w:tabs>
        <w:ind w:left="5670" w:hanging="720"/>
      </w:pPr>
      <w:rPr>
        <w:rFonts w:ascii="Arial" w:hAnsi="Arial" w:hint="default"/>
        <w:b/>
        <w:bCs w:val="0"/>
        <w:i w:val="0"/>
        <w:vanish w:val="0"/>
        <w:color w:val="010000"/>
        <w:sz w:val="20"/>
        <w:szCs w:val="20"/>
        <w:u w:val="none"/>
      </w:rPr>
    </w:lvl>
    <w:lvl w:ilvl="2">
      <w:start w:val="1"/>
      <w:numFmt w:val="lowerLetter"/>
      <w:pStyle w:val="Ttulo3"/>
      <w:lvlText w:val="(%3)"/>
      <w:lvlJc w:val="left"/>
      <w:pPr>
        <w:tabs>
          <w:tab w:val="num" w:pos="1440"/>
        </w:tabs>
        <w:ind w:left="1440" w:hanging="720"/>
      </w:pPr>
      <w:rPr>
        <w:rFonts w:ascii="Arial" w:hAnsi="Arial" w:hint="default"/>
        <w:b w:val="0"/>
        <w:i w:val="0"/>
        <w:caps w:val="0"/>
        <w:vanish w:val="0"/>
        <w:color w:val="010000"/>
        <w:sz w:val="22"/>
        <w:u w:val="none"/>
      </w:rPr>
    </w:lvl>
    <w:lvl w:ilvl="3">
      <w:start w:val="1"/>
      <w:numFmt w:val="lowerRoman"/>
      <w:pStyle w:val="Ttulo4"/>
      <w:lvlText w:val="(%4)"/>
      <w:lvlJc w:val="left"/>
      <w:pPr>
        <w:tabs>
          <w:tab w:val="num" w:pos="2160"/>
        </w:tabs>
        <w:ind w:left="2160" w:hanging="720"/>
      </w:pPr>
      <w:rPr>
        <w:rFonts w:ascii="Arial" w:hAnsi="Arial" w:hint="default"/>
        <w:b w:val="0"/>
        <w:i w:val="0"/>
        <w:vanish w:val="0"/>
        <w:color w:val="010000"/>
        <w:sz w:val="22"/>
        <w:u w:val="none"/>
      </w:rPr>
    </w:lvl>
    <w:lvl w:ilvl="4">
      <w:start w:val="1"/>
      <w:numFmt w:val="upperLetter"/>
      <w:pStyle w:val="Ttulo5"/>
      <w:lvlText w:val="(%5)"/>
      <w:lvlJc w:val="left"/>
      <w:pPr>
        <w:tabs>
          <w:tab w:val="num" w:pos="2880"/>
        </w:tabs>
        <w:ind w:left="2880" w:hanging="720"/>
      </w:pPr>
      <w:rPr>
        <w:rFonts w:ascii="Arial" w:hAnsi="Arial" w:hint="default"/>
        <w:b w:val="0"/>
        <w:i w:val="0"/>
        <w:vanish w:val="0"/>
        <w:color w:val="010000"/>
        <w:sz w:val="22"/>
        <w:u w:val="none"/>
      </w:rPr>
    </w:lvl>
    <w:lvl w:ilvl="5">
      <w:start w:val="1"/>
      <w:numFmt w:val="decimal"/>
      <w:pStyle w:val="Ttulo6"/>
      <w:lvlText w:val="(%6)"/>
      <w:lvlJc w:val="left"/>
      <w:pPr>
        <w:tabs>
          <w:tab w:val="num" w:pos="3600"/>
        </w:tabs>
        <w:ind w:left="3600" w:hanging="720"/>
      </w:pPr>
      <w:rPr>
        <w:rFonts w:ascii="Arial" w:hAnsi="Arial" w:hint="default"/>
        <w:b w:val="0"/>
        <w:i w:val="0"/>
        <w:vanish w:val="0"/>
        <w:color w:val="010000"/>
        <w:sz w:val="22"/>
        <w:u w:val="none"/>
      </w:rPr>
    </w:lvl>
    <w:lvl w:ilvl="6">
      <w:start w:val="1"/>
      <w:numFmt w:val="lowerLetter"/>
      <w:lvlText w:val="%7."/>
      <w:lvlJc w:val="left"/>
      <w:pPr>
        <w:tabs>
          <w:tab w:val="num" w:pos="5760"/>
        </w:tabs>
        <w:ind w:left="720" w:firstLine="4320"/>
      </w:pPr>
      <w:rPr>
        <w:rFonts w:hint="default"/>
        <w:vanish w:val="0"/>
        <w:color w:val="010000"/>
        <w:u w:val="none"/>
      </w:rPr>
    </w:lvl>
    <w:lvl w:ilvl="7">
      <w:start w:val="1"/>
      <w:numFmt w:val="lowerRoman"/>
      <w:lvlText w:val="%8."/>
      <w:lvlJc w:val="left"/>
      <w:pPr>
        <w:tabs>
          <w:tab w:val="num" w:pos="6480"/>
        </w:tabs>
        <w:ind w:left="720" w:firstLine="5040"/>
      </w:pPr>
      <w:rPr>
        <w:rFonts w:hint="default"/>
        <w:vanish w:val="0"/>
        <w:color w:val="010000"/>
        <w:u w:val="none"/>
      </w:rPr>
    </w:lvl>
    <w:lvl w:ilvl="8">
      <w:start w:val="1"/>
      <w:numFmt w:val="decimal"/>
      <w:lvlText w:val="%9)"/>
      <w:lvlJc w:val="left"/>
      <w:pPr>
        <w:tabs>
          <w:tab w:val="num" w:pos="7200"/>
        </w:tabs>
        <w:ind w:left="720" w:firstLine="5760"/>
      </w:pPr>
      <w:rPr>
        <w:rFonts w:hint="default"/>
        <w:vanish w:val="0"/>
        <w:color w:val="010000"/>
        <w:u w:val="none"/>
      </w:rPr>
    </w:lvl>
  </w:abstractNum>
  <w:abstractNum w:abstractNumId="5" w15:restartNumberingAfterBreak="0">
    <w:nsid w:val="2017446F"/>
    <w:multiLevelType w:val="hybridMultilevel"/>
    <w:tmpl w:val="9B8A7466"/>
    <w:lvl w:ilvl="0" w:tplc="D8EA0BF2">
      <w:start w:val="1"/>
      <w:numFmt w:val="decimal"/>
      <w:lvlText w:val="%1."/>
      <w:lvlJc w:val="left"/>
      <w:pPr>
        <w:ind w:left="720"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229D2AB3"/>
    <w:multiLevelType w:val="hybridMultilevel"/>
    <w:tmpl w:val="AC6AD058"/>
    <w:lvl w:ilvl="0" w:tplc="F0E05EDC">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23176B65"/>
    <w:multiLevelType w:val="hybridMultilevel"/>
    <w:tmpl w:val="00CCE38E"/>
    <w:lvl w:ilvl="0" w:tplc="0E145316">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3802681F"/>
    <w:multiLevelType w:val="hybridMultilevel"/>
    <w:tmpl w:val="A41EB838"/>
    <w:lvl w:ilvl="0" w:tplc="C7F6D9FE">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393E4391"/>
    <w:multiLevelType w:val="hybridMultilevel"/>
    <w:tmpl w:val="886E48F0"/>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3953587B"/>
    <w:multiLevelType w:val="hybridMultilevel"/>
    <w:tmpl w:val="6E1A5628"/>
    <w:lvl w:ilvl="0" w:tplc="1AC44AA0">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3EC837FE"/>
    <w:multiLevelType w:val="hybridMultilevel"/>
    <w:tmpl w:val="A684A812"/>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406F2525"/>
    <w:multiLevelType w:val="hybridMultilevel"/>
    <w:tmpl w:val="7B525F76"/>
    <w:lvl w:ilvl="0" w:tplc="38F09708">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4E7C4253"/>
    <w:multiLevelType w:val="hybridMultilevel"/>
    <w:tmpl w:val="70446574"/>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536E57E3"/>
    <w:multiLevelType w:val="hybridMultilevel"/>
    <w:tmpl w:val="BCD60744"/>
    <w:lvl w:ilvl="0" w:tplc="1994818E">
      <w:start w:val="14"/>
      <w:numFmt w:val="lowerRoman"/>
      <w:lvlText w:val="%1."/>
      <w:lvlJc w:val="left"/>
      <w:pPr>
        <w:ind w:left="822" w:hanging="456"/>
      </w:pPr>
      <w:rPr>
        <w:rFonts w:ascii="Times New Roman" w:eastAsia="Times New Roman" w:hAnsi="Times New Roman" w:cs="Times New Roman" w:hint="default"/>
        <w:b/>
        <w:bCs/>
        <w:w w:val="100"/>
        <w:sz w:val="24"/>
        <w:szCs w:val="24"/>
        <w:lang w:val="es-ES" w:eastAsia="en-US" w:bidi="ar-SA"/>
      </w:rPr>
    </w:lvl>
    <w:lvl w:ilvl="1" w:tplc="BA98E76E">
      <w:numFmt w:val="bullet"/>
      <w:lvlText w:val="•"/>
      <w:lvlJc w:val="left"/>
      <w:pPr>
        <w:ind w:left="1644" w:hanging="456"/>
      </w:pPr>
      <w:rPr>
        <w:rFonts w:hint="default"/>
        <w:lang w:val="es-ES" w:eastAsia="en-US" w:bidi="ar-SA"/>
      </w:rPr>
    </w:lvl>
    <w:lvl w:ilvl="2" w:tplc="E4F631E6">
      <w:numFmt w:val="bullet"/>
      <w:lvlText w:val="•"/>
      <w:lvlJc w:val="left"/>
      <w:pPr>
        <w:ind w:left="2468" w:hanging="456"/>
      </w:pPr>
      <w:rPr>
        <w:rFonts w:hint="default"/>
        <w:lang w:val="es-ES" w:eastAsia="en-US" w:bidi="ar-SA"/>
      </w:rPr>
    </w:lvl>
    <w:lvl w:ilvl="3" w:tplc="C5BAE92E">
      <w:numFmt w:val="bullet"/>
      <w:lvlText w:val="•"/>
      <w:lvlJc w:val="left"/>
      <w:pPr>
        <w:ind w:left="3292" w:hanging="456"/>
      </w:pPr>
      <w:rPr>
        <w:rFonts w:hint="default"/>
        <w:lang w:val="es-ES" w:eastAsia="en-US" w:bidi="ar-SA"/>
      </w:rPr>
    </w:lvl>
    <w:lvl w:ilvl="4" w:tplc="0EA87E34">
      <w:numFmt w:val="bullet"/>
      <w:lvlText w:val="•"/>
      <w:lvlJc w:val="left"/>
      <w:pPr>
        <w:ind w:left="4116" w:hanging="456"/>
      </w:pPr>
      <w:rPr>
        <w:rFonts w:hint="default"/>
        <w:lang w:val="es-ES" w:eastAsia="en-US" w:bidi="ar-SA"/>
      </w:rPr>
    </w:lvl>
    <w:lvl w:ilvl="5" w:tplc="EDACA156">
      <w:numFmt w:val="bullet"/>
      <w:lvlText w:val="•"/>
      <w:lvlJc w:val="left"/>
      <w:pPr>
        <w:ind w:left="4940" w:hanging="456"/>
      </w:pPr>
      <w:rPr>
        <w:rFonts w:hint="default"/>
        <w:lang w:val="es-ES" w:eastAsia="en-US" w:bidi="ar-SA"/>
      </w:rPr>
    </w:lvl>
    <w:lvl w:ilvl="6" w:tplc="DE8C412E">
      <w:numFmt w:val="bullet"/>
      <w:lvlText w:val="•"/>
      <w:lvlJc w:val="left"/>
      <w:pPr>
        <w:ind w:left="5764" w:hanging="456"/>
      </w:pPr>
      <w:rPr>
        <w:rFonts w:hint="default"/>
        <w:lang w:val="es-ES" w:eastAsia="en-US" w:bidi="ar-SA"/>
      </w:rPr>
    </w:lvl>
    <w:lvl w:ilvl="7" w:tplc="0A42CF5C">
      <w:numFmt w:val="bullet"/>
      <w:lvlText w:val="•"/>
      <w:lvlJc w:val="left"/>
      <w:pPr>
        <w:ind w:left="6588" w:hanging="456"/>
      </w:pPr>
      <w:rPr>
        <w:rFonts w:hint="default"/>
        <w:lang w:val="es-ES" w:eastAsia="en-US" w:bidi="ar-SA"/>
      </w:rPr>
    </w:lvl>
    <w:lvl w:ilvl="8" w:tplc="B8CE5CFE">
      <w:numFmt w:val="bullet"/>
      <w:lvlText w:val="•"/>
      <w:lvlJc w:val="left"/>
      <w:pPr>
        <w:ind w:left="7412" w:hanging="456"/>
      </w:pPr>
      <w:rPr>
        <w:rFonts w:hint="default"/>
        <w:lang w:val="es-ES" w:eastAsia="en-US" w:bidi="ar-SA"/>
      </w:rPr>
    </w:lvl>
  </w:abstractNum>
  <w:abstractNum w:abstractNumId="15" w15:restartNumberingAfterBreak="0">
    <w:nsid w:val="5B0F2A63"/>
    <w:multiLevelType w:val="hybridMultilevel"/>
    <w:tmpl w:val="93245CCA"/>
    <w:lvl w:ilvl="0" w:tplc="03BA66E4">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5EE66D14"/>
    <w:multiLevelType w:val="hybridMultilevel"/>
    <w:tmpl w:val="DEFE7B1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60AE4892"/>
    <w:multiLevelType w:val="hybridMultilevel"/>
    <w:tmpl w:val="AA16BF16"/>
    <w:lvl w:ilvl="0" w:tplc="2BE2DD7A">
      <w:start w:val="2"/>
      <w:numFmt w:val="decimal"/>
      <w:lvlText w:val="%1."/>
      <w:lvlJc w:val="left"/>
      <w:pPr>
        <w:ind w:left="822" w:hanging="360"/>
      </w:pPr>
      <w:rPr>
        <w:rFonts w:ascii="Times New Roman" w:eastAsia="Times New Roman" w:hAnsi="Times New Roman" w:cs="Times New Roman" w:hint="default"/>
        <w:w w:val="100"/>
        <w:sz w:val="24"/>
        <w:szCs w:val="24"/>
        <w:lang w:val="es-ES" w:eastAsia="en-US" w:bidi="ar-SA"/>
      </w:rPr>
    </w:lvl>
    <w:lvl w:ilvl="1" w:tplc="343AEC1E">
      <w:start w:val="1"/>
      <w:numFmt w:val="lowerLetter"/>
      <w:lvlText w:val="%2."/>
      <w:lvlJc w:val="left"/>
      <w:pPr>
        <w:ind w:left="1182" w:hanging="360"/>
      </w:pPr>
      <w:rPr>
        <w:rFonts w:ascii="Times New Roman" w:eastAsia="Times New Roman" w:hAnsi="Times New Roman" w:cs="Times New Roman" w:hint="default"/>
        <w:spacing w:val="-1"/>
        <w:w w:val="100"/>
        <w:sz w:val="24"/>
        <w:szCs w:val="24"/>
        <w:lang w:val="es-ES" w:eastAsia="en-US" w:bidi="ar-SA"/>
      </w:rPr>
    </w:lvl>
    <w:lvl w:ilvl="2" w:tplc="F2460B6C">
      <w:numFmt w:val="bullet"/>
      <w:lvlText w:val="•"/>
      <w:lvlJc w:val="left"/>
      <w:pPr>
        <w:ind w:left="2055" w:hanging="360"/>
      </w:pPr>
      <w:rPr>
        <w:rFonts w:hint="default"/>
        <w:lang w:val="es-ES" w:eastAsia="en-US" w:bidi="ar-SA"/>
      </w:rPr>
    </w:lvl>
    <w:lvl w:ilvl="3" w:tplc="AED81DF4">
      <w:numFmt w:val="bullet"/>
      <w:lvlText w:val="•"/>
      <w:lvlJc w:val="left"/>
      <w:pPr>
        <w:ind w:left="2931" w:hanging="360"/>
      </w:pPr>
      <w:rPr>
        <w:rFonts w:hint="default"/>
        <w:lang w:val="es-ES" w:eastAsia="en-US" w:bidi="ar-SA"/>
      </w:rPr>
    </w:lvl>
    <w:lvl w:ilvl="4" w:tplc="6FF2F0B6">
      <w:numFmt w:val="bullet"/>
      <w:lvlText w:val="•"/>
      <w:lvlJc w:val="left"/>
      <w:pPr>
        <w:ind w:left="3806" w:hanging="360"/>
      </w:pPr>
      <w:rPr>
        <w:rFonts w:hint="default"/>
        <w:lang w:val="es-ES" w:eastAsia="en-US" w:bidi="ar-SA"/>
      </w:rPr>
    </w:lvl>
    <w:lvl w:ilvl="5" w:tplc="1FD6C950">
      <w:numFmt w:val="bullet"/>
      <w:lvlText w:val="•"/>
      <w:lvlJc w:val="left"/>
      <w:pPr>
        <w:ind w:left="4682" w:hanging="360"/>
      </w:pPr>
      <w:rPr>
        <w:rFonts w:hint="default"/>
        <w:lang w:val="es-ES" w:eastAsia="en-US" w:bidi="ar-SA"/>
      </w:rPr>
    </w:lvl>
    <w:lvl w:ilvl="6" w:tplc="9476F3FE">
      <w:numFmt w:val="bullet"/>
      <w:lvlText w:val="•"/>
      <w:lvlJc w:val="left"/>
      <w:pPr>
        <w:ind w:left="5557" w:hanging="360"/>
      </w:pPr>
      <w:rPr>
        <w:rFonts w:hint="default"/>
        <w:lang w:val="es-ES" w:eastAsia="en-US" w:bidi="ar-SA"/>
      </w:rPr>
    </w:lvl>
    <w:lvl w:ilvl="7" w:tplc="E4F05A48">
      <w:numFmt w:val="bullet"/>
      <w:lvlText w:val="•"/>
      <w:lvlJc w:val="left"/>
      <w:pPr>
        <w:ind w:left="6433" w:hanging="360"/>
      </w:pPr>
      <w:rPr>
        <w:rFonts w:hint="default"/>
        <w:lang w:val="es-ES" w:eastAsia="en-US" w:bidi="ar-SA"/>
      </w:rPr>
    </w:lvl>
    <w:lvl w:ilvl="8" w:tplc="DAF2EFEA">
      <w:numFmt w:val="bullet"/>
      <w:lvlText w:val="•"/>
      <w:lvlJc w:val="left"/>
      <w:pPr>
        <w:ind w:left="7308" w:hanging="360"/>
      </w:pPr>
      <w:rPr>
        <w:rFonts w:hint="default"/>
        <w:lang w:val="es-ES" w:eastAsia="en-US" w:bidi="ar-SA"/>
      </w:rPr>
    </w:lvl>
  </w:abstractNum>
  <w:abstractNum w:abstractNumId="18" w15:restartNumberingAfterBreak="0">
    <w:nsid w:val="626E6865"/>
    <w:multiLevelType w:val="hybridMultilevel"/>
    <w:tmpl w:val="14508E1E"/>
    <w:lvl w:ilvl="0" w:tplc="D584D68A">
      <w:start w:val="2"/>
      <w:numFmt w:val="lowerLetter"/>
      <w:lvlText w:val="%1."/>
      <w:lvlJc w:val="left"/>
      <w:pPr>
        <w:ind w:left="462" w:hanging="360"/>
      </w:pPr>
      <w:rPr>
        <w:rFonts w:hint="default"/>
      </w:rPr>
    </w:lvl>
    <w:lvl w:ilvl="1" w:tplc="140A0019" w:tentative="1">
      <w:start w:val="1"/>
      <w:numFmt w:val="lowerLetter"/>
      <w:lvlText w:val="%2."/>
      <w:lvlJc w:val="left"/>
      <w:pPr>
        <w:ind w:left="1182" w:hanging="360"/>
      </w:pPr>
    </w:lvl>
    <w:lvl w:ilvl="2" w:tplc="140A001B" w:tentative="1">
      <w:start w:val="1"/>
      <w:numFmt w:val="lowerRoman"/>
      <w:lvlText w:val="%3."/>
      <w:lvlJc w:val="right"/>
      <w:pPr>
        <w:ind w:left="1902" w:hanging="180"/>
      </w:pPr>
    </w:lvl>
    <w:lvl w:ilvl="3" w:tplc="140A000F" w:tentative="1">
      <w:start w:val="1"/>
      <w:numFmt w:val="decimal"/>
      <w:lvlText w:val="%4."/>
      <w:lvlJc w:val="left"/>
      <w:pPr>
        <w:ind w:left="2622" w:hanging="360"/>
      </w:pPr>
    </w:lvl>
    <w:lvl w:ilvl="4" w:tplc="140A0019" w:tentative="1">
      <w:start w:val="1"/>
      <w:numFmt w:val="lowerLetter"/>
      <w:lvlText w:val="%5."/>
      <w:lvlJc w:val="left"/>
      <w:pPr>
        <w:ind w:left="3342" w:hanging="360"/>
      </w:pPr>
    </w:lvl>
    <w:lvl w:ilvl="5" w:tplc="140A001B" w:tentative="1">
      <w:start w:val="1"/>
      <w:numFmt w:val="lowerRoman"/>
      <w:lvlText w:val="%6."/>
      <w:lvlJc w:val="right"/>
      <w:pPr>
        <w:ind w:left="4062" w:hanging="180"/>
      </w:pPr>
    </w:lvl>
    <w:lvl w:ilvl="6" w:tplc="140A000F" w:tentative="1">
      <w:start w:val="1"/>
      <w:numFmt w:val="decimal"/>
      <w:lvlText w:val="%7."/>
      <w:lvlJc w:val="left"/>
      <w:pPr>
        <w:ind w:left="4782" w:hanging="360"/>
      </w:pPr>
    </w:lvl>
    <w:lvl w:ilvl="7" w:tplc="140A0019" w:tentative="1">
      <w:start w:val="1"/>
      <w:numFmt w:val="lowerLetter"/>
      <w:lvlText w:val="%8."/>
      <w:lvlJc w:val="left"/>
      <w:pPr>
        <w:ind w:left="5502" w:hanging="360"/>
      </w:pPr>
    </w:lvl>
    <w:lvl w:ilvl="8" w:tplc="140A001B" w:tentative="1">
      <w:start w:val="1"/>
      <w:numFmt w:val="lowerRoman"/>
      <w:lvlText w:val="%9."/>
      <w:lvlJc w:val="right"/>
      <w:pPr>
        <w:ind w:left="6222" w:hanging="180"/>
      </w:pPr>
    </w:lvl>
  </w:abstractNum>
  <w:abstractNum w:abstractNumId="19" w15:restartNumberingAfterBreak="0">
    <w:nsid w:val="63EC127E"/>
    <w:multiLevelType w:val="hybridMultilevel"/>
    <w:tmpl w:val="060A130A"/>
    <w:lvl w:ilvl="0" w:tplc="55A65B82">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783B4BFE"/>
    <w:multiLevelType w:val="hybridMultilevel"/>
    <w:tmpl w:val="1C58D01E"/>
    <w:lvl w:ilvl="0" w:tplc="92541B2A">
      <w:start w:val="1"/>
      <w:numFmt w:val="lowerRoman"/>
      <w:lvlText w:val="%1)"/>
      <w:lvlJc w:val="left"/>
      <w:pPr>
        <w:ind w:left="1518" w:hanging="708"/>
      </w:pPr>
      <w:rPr>
        <w:rFonts w:ascii="Times New Roman" w:eastAsia="Times New Roman" w:hAnsi="Times New Roman" w:cs="Times New Roman" w:hint="default"/>
        <w:b/>
        <w:bCs/>
        <w:w w:val="99"/>
        <w:sz w:val="24"/>
        <w:szCs w:val="24"/>
        <w:lang w:val="es-ES" w:eastAsia="en-US" w:bidi="ar-SA"/>
      </w:rPr>
    </w:lvl>
    <w:lvl w:ilvl="1" w:tplc="5D5633E4">
      <w:numFmt w:val="bullet"/>
      <w:lvlText w:val="•"/>
      <w:lvlJc w:val="left"/>
      <w:pPr>
        <w:ind w:left="2274" w:hanging="708"/>
      </w:pPr>
      <w:rPr>
        <w:rFonts w:hint="default"/>
        <w:lang w:val="es-ES" w:eastAsia="en-US" w:bidi="ar-SA"/>
      </w:rPr>
    </w:lvl>
    <w:lvl w:ilvl="2" w:tplc="19CE7108">
      <w:numFmt w:val="bullet"/>
      <w:lvlText w:val="•"/>
      <w:lvlJc w:val="left"/>
      <w:pPr>
        <w:ind w:left="3028" w:hanging="708"/>
      </w:pPr>
      <w:rPr>
        <w:rFonts w:hint="default"/>
        <w:lang w:val="es-ES" w:eastAsia="en-US" w:bidi="ar-SA"/>
      </w:rPr>
    </w:lvl>
    <w:lvl w:ilvl="3" w:tplc="B044998A">
      <w:numFmt w:val="bullet"/>
      <w:lvlText w:val="•"/>
      <w:lvlJc w:val="left"/>
      <w:pPr>
        <w:ind w:left="3782" w:hanging="708"/>
      </w:pPr>
      <w:rPr>
        <w:rFonts w:hint="default"/>
        <w:lang w:val="es-ES" w:eastAsia="en-US" w:bidi="ar-SA"/>
      </w:rPr>
    </w:lvl>
    <w:lvl w:ilvl="4" w:tplc="A860EBCC">
      <w:numFmt w:val="bullet"/>
      <w:lvlText w:val="•"/>
      <w:lvlJc w:val="left"/>
      <w:pPr>
        <w:ind w:left="4536" w:hanging="708"/>
      </w:pPr>
      <w:rPr>
        <w:rFonts w:hint="default"/>
        <w:lang w:val="es-ES" w:eastAsia="en-US" w:bidi="ar-SA"/>
      </w:rPr>
    </w:lvl>
    <w:lvl w:ilvl="5" w:tplc="88F0EFFA">
      <w:numFmt w:val="bullet"/>
      <w:lvlText w:val="•"/>
      <w:lvlJc w:val="left"/>
      <w:pPr>
        <w:ind w:left="5290" w:hanging="708"/>
      </w:pPr>
      <w:rPr>
        <w:rFonts w:hint="default"/>
        <w:lang w:val="es-ES" w:eastAsia="en-US" w:bidi="ar-SA"/>
      </w:rPr>
    </w:lvl>
    <w:lvl w:ilvl="6" w:tplc="0DAA8174">
      <w:numFmt w:val="bullet"/>
      <w:lvlText w:val="•"/>
      <w:lvlJc w:val="left"/>
      <w:pPr>
        <w:ind w:left="6044" w:hanging="708"/>
      </w:pPr>
      <w:rPr>
        <w:rFonts w:hint="default"/>
        <w:lang w:val="es-ES" w:eastAsia="en-US" w:bidi="ar-SA"/>
      </w:rPr>
    </w:lvl>
    <w:lvl w:ilvl="7" w:tplc="D16A5A76">
      <w:numFmt w:val="bullet"/>
      <w:lvlText w:val="•"/>
      <w:lvlJc w:val="left"/>
      <w:pPr>
        <w:ind w:left="6798" w:hanging="708"/>
      </w:pPr>
      <w:rPr>
        <w:rFonts w:hint="default"/>
        <w:lang w:val="es-ES" w:eastAsia="en-US" w:bidi="ar-SA"/>
      </w:rPr>
    </w:lvl>
    <w:lvl w:ilvl="8" w:tplc="E676E910">
      <w:numFmt w:val="bullet"/>
      <w:lvlText w:val="•"/>
      <w:lvlJc w:val="left"/>
      <w:pPr>
        <w:ind w:left="7552" w:hanging="708"/>
      </w:pPr>
      <w:rPr>
        <w:rFonts w:hint="default"/>
        <w:lang w:val="es-ES" w:eastAsia="en-US" w:bidi="ar-SA"/>
      </w:rPr>
    </w:lvl>
  </w:abstractNum>
  <w:abstractNum w:abstractNumId="21" w15:restartNumberingAfterBreak="0">
    <w:nsid w:val="7A3B002C"/>
    <w:multiLevelType w:val="hybridMultilevel"/>
    <w:tmpl w:val="9822C7F6"/>
    <w:lvl w:ilvl="0" w:tplc="AB64A106">
      <w:start w:val="1"/>
      <w:numFmt w:val="lowerRoman"/>
      <w:lvlText w:val="%1."/>
      <w:lvlJc w:val="left"/>
      <w:pPr>
        <w:ind w:left="1070" w:hanging="71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num w:numId="1" w16cid:durableId="484979227">
    <w:abstractNumId w:val="4"/>
  </w:num>
  <w:num w:numId="2" w16cid:durableId="1909337140">
    <w:abstractNumId w:val="18"/>
  </w:num>
  <w:num w:numId="3" w16cid:durableId="890771216">
    <w:abstractNumId w:val="5"/>
  </w:num>
  <w:num w:numId="4" w16cid:durableId="50353161">
    <w:abstractNumId w:val="17"/>
  </w:num>
  <w:num w:numId="5" w16cid:durableId="1584530161">
    <w:abstractNumId w:val="14"/>
  </w:num>
  <w:num w:numId="6" w16cid:durableId="1792896514">
    <w:abstractNumId w:val="20"/>
  </w:num>
  <w:num w:numId="7" w16cid:durableId="1766533393">
    <w:abstractNumId w:val="6"/>
  </w:num>
  <w:num w:numId="8" w16cid:durableId="431828259">
    <w:abstractNumId w:val="7"/>
  </w:num>
  <w:num w:numId="9" w16cid:durableId="2064937284">
    <w:abstractNumId w:val="19"/>
  </w:num>
  <w:num w:numId="10" w16cid:durableId="1815947760">
    <w:abstractNumId w:val="3"/>
  </w:num>
  <w:num w:numId="11" w16cid:durableId="628126908">
    <w:abstractNumId w:val="12"/>
  </w:num>
  <w:num w:numId="12" w16cid:durableId="66340597">
    <w:abstractNumId w:val="15"/>
  </w:num>
  <w:num w:numId="13" w16cid:durableId="1331447073">
    <w:abstractNumId w:val="8"/>
  </w:num>
  <w:num w:numId="14" w16cid:durableId="1183858281">
    <w:abstractNumId w:val="1"/>
  </w:num>
  <w:num w:numId="15" w16cid:durableId="365954244">
    <w:abstractNumId w:val="13"/>
  </w:num>
  <w:num w:numId="16" w16cid:durableId="139737768">
    <w:abstractNumId w:val="9"/>
  </w:num>
  <w:num w:numId="17" w16cid:durableId="296960949">
    <w:abstractNumId w:val="0"/>
  </w:num>
  <w:num w:numId="18" w16cid:durableId="1132819612">
    <w:abstractNumId w:val="10"/>
  </w:num>
  <w:num w:numId="19" w16cid:durableId="1921937188">
    <w:abstractNumId w:val="11"/>
  </w:num>
  <w:num w:numId="20" w16cid:durableId="14654651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3604455">
    <w:abstractNumId w:val="2"/>
  </w:num>
  <w:num w:numId="22" w16cid:durableId="1566138149">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6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8A2"/>
    <w:rsid w:val="00001486"/>
    <w:rsid w:val="0000168E"/>
    <w:rsid w:val="00001B3B"/>
    <w:rsid w:val="00001CED"/>
    <w:rsid w:val="00002304"/>
    <w:rsid w:val="0000393E"/>
    <w:rsid w:val="0000454C"/>
    <w:rsid w:val="00004F07"/>
    <w:rsid w:val="0000741C"/>
    <w:rsid w:val="0000757A"/>
    <w:rsid w:val="00007C69"/>
    <w:rsid w:val="00007C8A"/>
    <w:rsid w:val="00010D49"/>
    <w:rsid w:val="000111B4"/>
    <w:rsid w:val="0001135E"/>
    <w:rsid w:val="000119FF"/>
    <w:rsid w:val="000124EF"/>
    <w:rsid w:val="00015FA9"/>
    <w:rsid w:val="0001683B"/>
    <w:rsid w:val="00016BF1"/>
    <w:rsid w:val="000201A0"/>
    <w:rsid w:val="0002192A"/>
    <w:rsid w:val="00022B6B"/>
    <w:rsid w:val="00022E7B"/>
    <w:rsid w:val="00023D22"/>
    <w:rsid w:val="000242B5"/>
    <w:rsid w:val="00024A9D"/>
    <w:rsid w:val="000259E6"/>
    <w:rsid w:val="00030CD2"/>
    <w:rsid w:val="00030E7A"/>
    <w:rsid w:val="00033168"/>
    <w:rsid w:val="0003340C"/>
    <w:rsid w:val="0003403D"/>
    <w:rsid w:val="00034CE7"/>
    <w:rsid w:val="00035333"/>
    <w:rsid w:val="00035A39"/>
    <w:rsid w:val="0003606D"/>
    <w:rsid w:val="00036A78"/>
    <w:rsid w:val="000376D7"/>
    <w:rsid w:val="00037FF1"/>
    <w:rsid w:val="000400DB"/>
    <w:rsid w:val="000403ED"/>
    <w:rsid w:val="000405D7"/>
    <w:rsid w:val="00040ED3"/>
    <w:rsid w:val="00041C30"/>
    <w:rsid w:val="00043309"/>
    <w:rsid w:val="00043B35"/>
    <w:rsid w:val="00043FFF"/>
    <w:rsid w:val="0004432B"/>
    <w:rsid w:val="000443FD"/>
    <w:rsid w:val="00044426"/>
    <w:rsid w:val="00045AEC"/>
    <w:rsid w:val="00046011"/>
    <w:rsid w:val="00047972"/>
    <w:rsid w:val="00050CFF"/>
    <w:rsid w:val="00053518"/>
    <w:rsid w:val="0005400A"/>
    <w:rsid w:val="000547E1"/>
    <w:rsid w:val="00054DCB"/>
    <w:rsid w:val="0005584A"/>
    <w:rsid w:val="0005744B"/>
    <w:rsid w:val="00060E7C"/>
    <w:rsid w:val="00060F7F"/>
    <w:rsid w:val="000612BD"/>
    <w:rsid w:val="00061CC2"/>
    <w:rsid w:val="0006236D"/>
    <w:rsid w:val="00064451"/>
    <w:rsid w:val="00065208"/>
    <w:rsid w:val="000655B6"/>
    <w:rsid w:val="00066D77"/>
    <w:rsid w:val="00066DC0"/>
    <w:rsid w:val="000677B9"/>
    <w:rsid w:val="000705CB"/>
    <w:rsid w:val="00070D31"/>
    <w:rsid w:val="00070D6B"/>
    <w:rsid w:val="00070FBF"/>
    <w:rsid w:val="000711B1"/>
    <w:rsid w:val="0007127F"/>
    <w:rsid w:val="00071629"/>
    <w:rsid w:val="00071824"/>
    <w:rsid w:val="000725C9"/>
    <w:rsid w:val="00072652"/>
    <w:rsid w:val="00073141"/>
    <w:rsid w:val="000738C4"/>
    <w:rsid w:val="0008138E"/>
    <w:rsid w:val="00081DA7"/>
    <w:rsid w:val="00082B9A"/>
    <w:rsid w:val="00083456"/>
    <w:rsid w:val="00083757"/>
    <w:rsid w:val="00084B45"/>
    <w:rsid w:val="00084CCA"/>
    <w:rsid w:val="00085198"/>
    <w:rsid w:val="0008554C"/>
    <w:rsid w:val="00086C8C"/>
    <w:rsid w:val="00087173"/>
    <w:rsid w:val="000879F7"/>
    <w:rsid w:val="000927DE"/>
    <w:rsid w:val="00092FBE"/>
    <w:rsid w:val="0009491C"/>
    <w:rsid w:val="0009707B"/>
    <w:rsid w:val="000976CD"/>
    <w:rsid w:val="00097BE7"/>
    <w:rsid w:val="00097C27"/>
    <w:rsid w:val="000A00D2"/>
    <w:rsid w:val="000A0815"/>
    <w:rsid w:val="000A1A90"/>
    <w:rsid w:val="000A1C06"/>
    <w:rsid w:val="000A219B"/>
    <w:rsid w:val="000A259D"/>
    <w:rsid w:val="000A268E"/>
    <w:rsid w:val="000A2E30"/>
    <w:rsid w:val="000A4332"/>
    <w:rsid w:val="000A5D84"/>
    <w:rsid w:val="000A5FC4"/>
    <w:rsid w:val="000A60A2"/>
    <w:rsid w:val="000A63C2"/>
    <w:rsid w:val="000A64EF"/>
    <w:rsid w:val="000A6AC0"/>
    <w:rsid w:val="000A6D2F"/>
    <w:rsid w:val="000A76A3"/>
    <w:rsid w:val="000B2A46"/>
    <w:rsid w:val="000B2CBF"/>
    <w:rsid w:val="000B2D08"/>
    <w:rsid w:val="000B452B"/>
    <w:rsid w:val="000B4F4A"/>
    <w:rsid w:val="000B5B7F"/>
    <w:rsid w:val="000B5CF2"/>
    <w:rsid w:val="000B60C4"/>
    <w:rsid w:val="000B648C"/>
    <w:rsid w:val="000B768F"/>
    <w:rsid w:val="000B7D04"/>
    <w:rsid w:val="000C011D"/>
    <w:rsid w:val="000C1DD2"/>
    <w:rsid w:val="000C2B1B"/>
    <w:rsid w:val="000C2D7F"/>
    <w:rsid w:val="000C31C6"/>
    <w:rsid w:val="000C3A30"/>
    <w:rsid w:val="000C53DF"/>
    <w:rsid w:val="000C5581"/>
    <w:rsid w:val="000C6110"/>
    <w:rsid w:val="000C64D2"/>
    <w:rsid w:val="000C6C1F"/>
    <w:rsid w:val="000C6FA3"/>
    <w:rsid w:val="000D00D8"/>
    <w:rsid w:val="000D0D1D"/>
    <w:rsid w:val="000D1711"/>
    <w:rsid w:val="000D1DDA"/>
    <w:rsid w:val="000D2119"/>
    <w:rsid w:val="000D2CF6"/>
    <w:rsid w:val="000D365F"/>
    <w:rsid w:val="000D3E7E"/>
    <w:rsid w:val="000D4389"/>
    <w:rsid w:val="000D54C2"/>
    <w:rsid w:val="000D54D0"/>
    <w:rsid w:val="000D55B7"/>
    <w:rsid w:val="000D5FEE"/>
    <w:rsid w:val="000D66D6"/>
    <w:rsid w:val="000D6797"/>
    <w:rsid w:val="000D6A7B"/>
    <w:rsid w:val="000D70F4"/>
    <w:rsid w:val="000D72D4"/>
    <w:rsid w:val="000D736B"/>
    <w:rsid w:val="000D77D8"/>
    <w:rsid w:val="000D7865"/>
    <w:rsid w:val="000D7F74"/>
    <w:rsid w:val="000E25DD"/>
    <w:rsid w:val="000E362C"/>
    <w:rsid w:val="000E3D53"/>
    <w:rsid w:val="000E3E7A"/>
    <w:rsid w:val="000E4F22"/>
    <w:rsid w:val="000E509A"/>
    <w:rsid w:val="000E5A5F"/>
    <w:rsid w:val="000E737A"/>
    <w:rsid w:val="000E7DB4"/>
    <w:rsid w:val="000F03A7"/>
    <w:rsid w:val="000F1154"/>
    <w:rsid w:val="000F164B"/>
    <w:rsid w:val="000F19DE"/>
    <w:rsid w:val="000F2467"/>
    <w:rsid w:val="000F2C8D"/>
    <w:rsid w:val="000F4068"/>
    <w:rsid w:val="000F44E6"/>
    <w:rsid w:val="000F4513"/>
    <w:rsid w:val="000F4DA5"/>
    <w:rsid w:val="000F6270"/>
    <w:rsid w:val="000F652B"/>
    <w:rsid w:val="000F66B6"/>
    <w:rsid w:val="000F6993"/>
    <w:rsid w:val="000F72B7"/>
    <w:rsid w:val="000F762B"/>
    <w:rsid w:val="000F7AF8"/>
    <w:rsid w:val="000F7BB0"/>
    <w:rsid w:val="001003ED"/>
    <w:rsid w:val="0010108B"/>
    <w:rsid w:val="001017C4"/>
    <w:rsid w:val="00103213"/>
    <w:rsid w:val="00104B0F"/>
    <w:rsid w:val="001058A7"/>
    <w:rsid w:val="00105BAC"/>
    <w:rsid w:val="0010717A"/>
    <w:rsid w:val="0010721D"/>
    <w:rsid w:val="001075EF"/>
    <w:rsid w:val="0010781B"/>
    <w:rsid w:val="00110BAA"/>
    <w:rsid w:val="0011188D"/>
    <w:rsid w:val="00111CD7"/>
    <w:rsid w:val="00111ECB"/>
    <w:rsid w:val="001147A9"/>
    <w:rsid w:val="00114892"/>
    <w:rsid w:val="00115149"/>
    <w:rsid w:val="0011528F"/>
    <w:rsid w:val="00115587"/>
    <w:rsid w:val="00115802"/>
    <w:rsid w:val="00115857"/>
    <w:rsid w:val="00115977"/>
    <w:rsid w:val="00116013"/>
    <w:rsid w:val="00117105"/>
    <w:rsid w:val="00117E3A"/>
    <w:rsid w:val="00120194"/>
    <w:rsid w:val="001209B5"/>
    <w:rsid w:val="00120F05"/>
    <w:rsid w:val="00121006"/>
    <w:rsid w:val="00121C6E"/>
    <w:rsid w:val="001230BC"/>
    <w:rsid w:val="0012363E"/>
    <w:rsid w:val="001248E9"/>
    <w:rsid w:val="00124DCD"/>
    <w:rsid w:val="0012628E"/>
    <w:rsid w:val="00130014"/>
    <w:rsid w:val="001320BC"/>
    <w:rsid w:val="0013277A"/>
    <w:rsid w:val="00132DFC"/>
    <w:rsid w:val="00133179"/>
    <w:rsid w:val="00133471"/>
    <w:rsid w:val="001349CF"/>
    <w:rsid w:val="00134B35"/>
    <w:rsid w:val="00134E4A"/>
    <w:rsid w:val="00135227"/>
    <w:rsid w:val="0013522B"/>
    <w:rsid w:val="00135932"/>
    <w:rsid w:val="00136A50"/>
    <w:rsid w:val="001375CC"/>
    <w:rsid w:val="00137F9F"/>
    <w:rsid w:val="00140E82"/>
    <w:rsid w:val="001422D2"/>
    <w:rsid w:val="001429F2"/>
    <w:rsid w:val="00142DA3"/>
    <w:rsid w:val="001430AF"/>
    <w:rsid w:val="001432BE"/>
    <w:rsid w:val="001433FD"/>
    <w:rsid w:val="001441BE"/>
    <w:rsid w:val="001447BB"/>
    <w:rsid w:val="00144D03"/>
    <w:rsid w:val="00145646"/>
    <w:rsid w:val="001458D2"/>
    <w:rsid w:val="00145F87"/>
    <w:rsid w:val="00145FE5"/>
    <w:rsid w:val="00146338"/>
    <w:rsid w:val="001468C0"/>
    <w:rsid w:val="00146937"/>
    <w:rsid w:val="00147707"/>
    <w:rsid w:val="00150337"/>
    <w:rsid w:val="0015116E"/>
    <w:rsid w:val="00151730"/>
    <w:rsid w:val="00152542"/>
    <w:rsid w:val="001525EC"/>
    <w:rsid w:val="001532F9"/>
    <w:rsid w:val="0015360F"/>
    <w:rsid w:val="00153A7D"/>
    <w:rsid w:val="00154886"/>
    <w:rsid w:val="00154A20"/>
    <w:rsid w:val="00154A4D"/>
    <w:rsid w:val="0015546F"/>
    <w:rsid w:val="00157FB7"/>
    <w:rsid w:val="00160353"/>
    <w:rsid w:val="001604B4"/>
    <w:rsid w:val="0016096B"/>
    <w:rsid w:val="00161046"/>
    <w:rsid w:val="0016126F"/>
    <w:rsid w:val="001627A4"/>
    <w:rsid w:val="00162ADA"/>
    <w:rsid w:val="001632EA"/>
    <w:rsid w:val="00163753"/>
    <w:rsid w:val="0016383C"/>
    <w:rsid w:val="001648BD"/>
    <w:rsid w:val="00164A21"/>
    <w:rsid w:val="0016501F"/>
    <w:rsid w:val="001655C4"/>
    <w:rsid w:val="00166240"/>
    <w:rsid w:val="0016660D"/>
    <w:rsid w:val="00166929"/>
    <w:rsid w:val="00167E34"/>
    <w:rsid w:val="00171890"/>
    <w:rsid w:val="00171E9C"/>
    <w:rsid w:val="0017204F"/>
    <w:rsid w:val="00172580"/>
    <w:rsid w:val="001727D7"/>
    <w:rsid w:val="0017330E"/>
    <w:rsid w:val="001738F0"/>
    <w:rsid w:val="00173B4F"/>
    <w:rsid w:val="001742DF"/>
    <w:rsid w:val="001745ED"/>
    <w:rsid w:val="0017496C"/>
    <w:rsid w:val="00174CED"/>
    <w:rsid w:val="0017565C"/>
    <w:rsid w:val="00175921"/>
    <w:rsid w:val="00175A10"/>
    <w:rsid w:val="00181031"/>
    <w:rsid w:val="00181D68"/>
    <w:rsid w:val="001820F9"/>
    <w:rsid w:val="0018345C"/>
    <w:rsid w:val="001844E4"/>
    <w:rsid w:val="0018542F"/>
    <w:rsid w:val="00185527"/>
    <w:rsid w:val="00187825"/>
    <w:rsid w:val="00187BB7"/>
    <w:rsid w:val="00187C1E"/>
    <w:rsid w:val="00187C89"/>
    <w:rsid w:val="00187DA5"/>
    <w:rsid w:val="001901DB"/>
    <w:rsid w:val="001904EC"/>
    <w:rsid w:val="001919A9"/>
    <w:rsid w:val="0019320E"/>
    <w:rsid w:val="001939D2"/>
    <w:rsid w:val="00193AC0"/>
    <w:rsid w:val="00194529"/>
    <w:rsid w:val="00194742"/>
    <w:rsid w:val="00194CA2"/>
    <w:rsid w:val="00194F3A"/>
    <w:rsid w:val="00195BB2"/>
    <w:rsid w:val="00196212"/>
    <w:rsid w:val="00197BC9"/>
    <w:rsid w:val="001A0041"/>
    <w:rsid w:val="001A0156"/>
    <w:rsid w:val="001A0E85"/>
    <w:rsid w:val="001A2EB3"/>
    <w:rsid w:val="001A38BA"/>
    <w:rsid w:val="001A3C68"/>
    <w:rsid w:val="001A3C6A"/>
    <w:rsid w:val="001A4149"/>
    <w:rsid w:val="001A4377"/>
    <w:rsid w:val="001A4858"/>
    <w:rsid w:val="001A59CF"/>
    <w:rsid w:val="001A6728"/>
    <w:rsid w:val="001A6DB3"/>
    <w:rsid w:val="001A72CA"/>
    <w:rsid w:val="001A7D1D"/>
    <w:rsid w:val="001B01E8"/>
    <w:rsid w:val="001B07EA"/>
    <w:rsid w:val="001B1601"/>
    <w:rsid w:val="001B171F"/>
    <w:rsid w:val="001B19E4"/>
    <w:rsid w:val="001B1DD9"/>
    <w:rsid w:val="001B2E72"/>
    <w:rsid w:val="001B3D42"/>
    <w:rsid w:val="001B4AB8"/>
    <w:rsid w:val="001B55E8"/>
    <w:rsid w:val="001B59D2"/>
    <w:rsid w:val="001B5F30"/>
    <w:rsid w:val="001B6004"/>
    <w:rsid w:val="001B60BE"/>
    <w:rsid w:val="001B62D0"/>
    <w:rsid w:val="001B64F4"/>
    <w:rsid w:val="001B6A96"/>
    <w:rsid w:val="001B6C17"/>
    <w:rsid w:val="001B7AA2"/>
    <w:rsid w:val="001C0181"/>
    <w:rsid w:val="001C0345"/>
    <w:rsid w:val="001C035A"/>
    <w:rsid w:val="001C0CEE"/>
    <w:rsid w:val="001C2090"/>
    <w:rsid w:val="001C44EF"/>
    <w:rsid w:val="001C4CFC"/>
    <w:rsid w:val="001C4EB3"/>
    <w:rsid w:val="001C4EE2"/>
    <w:rsid w:val="001C50E3"/>
    <w:rsid w:val="001C5296"/>
    <w:rsid w:val="001C5ED4"/>
    <w:rsid w:val="001C6820"/>
    <w:rsid w:val="001C6BF6"/>
    <w:rsid w:val="001C6CBC"/>
    <w:rsid w:val="001C742A"/>
    <w:rsid w:val="001C7965"/>
    <w:rsid w:val="001D0052"/>
    <w:rsid w:val="001D03FB"/>
    <w:rsid w:val="001D2246"/>
    <w:rsid w:val="001D254B"/>
    <w:rsid w:val="001D364B"/>
    <w:rsid w:val="001D39C6"/>
    <w:rsid w:val="001D405D"/>
    <w:rsid w:val="001D415B"/>
    <w:rsid w:val="001D452B"/>
    <w:rsid w:val="001D4832"/>
    <w:rsid w:val="001D5703"/>
    <w:rsid w:val="001D6857"/>
    <w:rsid w:val="001D74C3"/>
    <w:rsid w:val="001D76AF"/>
    <w:rsid w:val="001E0372"/>
    <w:rsid w:val="001E0867"/>
    <w:rsid w:val="001E31E3"/>
    <w:rsid w:val="001E33E2"/>
    <w:rsid w:val="001E3B74"/>
    <w:rsid w:val="001E4580"/>
    <w:rsid w:val="001E4D36"/>
    <w:rsid w:val="001E51AA"/>
    <w:rsid w:val="001E53A8"/>
    <w:rsid w:val="001E5DCC"/>
    <w:rsid w:val="001E6E81"/>
    <w:rsid w:val="001E7A78"/>
    <w:rsid w:val="001E7B5E"/>
    <w:rsid w:val="001F00F5"/>
    <w:rsid w:val="001F070C"/>
    <w:rsid w:val="001F1DAC"/>
    <w:rsid w:val="001F2086"/>
    <w:rsid w:val="001F2F1B"/>
    <w:rsid w:val="001F38E4"/>
    <w:rsid w:val="001F3DBC"/>
    <w:rsid w:val="001F4481"/>
    <w:rsid w:val="001F4938"/>
    <w:rsid w:val="001F4DC4"/>
    <w:rsid w:val="001F4F36"/>
    <w:rsid w:val="001F60A5"/>
    <w:rsid w:val="001F660B"/>
    <w:rsid w:val="001F6699"/>
    <w:rsid w:val="001F78FA"/>
    <w:rsid w:val="00200C0C"/>
    <w:rsid w:val="00201737"/>
    <w:rsid w:val="00202A86"/>
    <w:rsid w:val="00204CA9"/>
    <w:rsid w:val="0020548B"/>
    <w:rsid w:val="00205B80"/>
    <w:rsid w:val="00205C24"/>
    <w:rsid w:val="00205EE0"/>
    <w:rsid w:val="00206AC9"/>
    <w:rsid w:val="0020746E"/>
    <w:rsid w:val="00207DD4"/>
    <w:rsid w:val="002107E0"/>
    <w:rsid w:val="00210AFD"/>
    <w:rsid w:val="002112C9"/>
    <w:rsid w:val="0021243F"/>
    <w:rsid w:val="00212775"/>
    <w:rsid w:val="00213222"/>
    <w:rsid w:val="00214C53"/>
    <w:rsid w:val="0021548B"/>
    <w:rsid w:val="00215B87"/>
    <w:rsid w:val="00215CE3"/>
    <w:rsid w:val="002169F6"/>
    <w:rsid w:val="00217CF6"/>
    <w:rsid w:val="00217E6F"/>
    <w:rsid w:val="00222A55"/>
    <w:rsid w:val="00223109"/>
    <w:rsid w:val="002237A3"/>
    <w:rsid w:val="00224210"/>
    <w:rsid w:val="00224405"/>
    <w:rsid w:val="002250FC"/>
    <w:rsid w:val="002265D7"/>
    <w:rsid w:val="0022727F"/>
    <w:rsid w:val="00227360"/>
    <w:rsid w:val="00227EC3"/>
    <w:rsid w:val="002300F4"/>
    <w:rsid w:val="00230142"/>
    <w:rsid w:val="0023037B"/>
    <w:rsid w:val="00230A7D"/>
    <w:rsid w:val="00230AD0"/>
    <w:rsid w:val="0023145E"/>
    <w:rsid w:val="00231606"/>
    <w:rsid w:val="0023161E"/>
    <w:rsid w:val="00232F0C"/>
    <w:rsid w:val="002334EA"/>
    <w:rsid w:val="002337D9"/>
    <w:rsid w:val="00233829"/>
    <w:rsid w:val="00233A3E"/>
    <w:rsid w:val="00233B65"/>
    <w:rsid w:val="00233CFB"/>
    <w:rsid w:val="00234A33"/>
    <w:rsid w:val="00234E7D"/>
    <w:rsid w:val="00234EAB"/>
    <w:rsid w:val="00235EAB"/>
    <w:rsid w:val="002361DA"/>
    <w:rsid w:val="00236730"/>
    <w:rsid w:val="00237F9F"/>
    <w:rsid w:val="0024041E"/>
    <w:rsid w:val="00241A27"/>
    <w:rsid w:val="0024229E"/>
    <w:rsid w:val="00242E58"/>
    <w:rsid w:val="00242E89"/>
    <w:rsid w:val="00243978"/>
    <w:rsid w:val="00243AF6"/>
    <w:rsid w:val="00244247"/>
    <w:rsid w:val="00244687"/>
    <w:rsid w:val="0024524B"/>
    <w:rsid w:val="0024534A"/>
    <w:rsid w:val="00245370"/>
    <w:rsid w:val="002464E8"/>
    <w:rsid w:val="00247A48"/>
    <w:rsid w:val="00247DE1"/>
    <w:rsid w:val="00250171"/>
    <w:rsid w:val="002516E3"/>
    <w:rsid w:val="00251B9D"/>
    <w:rsid w:val="00251F04"/>
    <w:rsid w:val="002529FC"/>
    <w:rsid w:val="00252CB5"/>
    <w:rsid w:val="00252F06"/>
    <w:rsid w:val="002535B0"/>
    <w:rsid w:val="00253CC1"/>
    <w:rsid w:val="00253D1F"/>
    <w:rsid w:val="00255ABD"/>
    <w:rsid w:val="0025659E"/>
    <w:rsid w:val="0026012E"/>
    <w:rsid w:val="00260143"/>
    <w:rsid w:val="002604CB"/>
    <w:rsid w:val="00260785"/>
    <w:rsid w:val="00260D2C"/>
    <w:rsid w:val="00262FF3"/>
    <w:rsid w:val="00263313"/>
    <w:rsid w:val="00263512"/>
    <w:rsid w:val="0026371B"/>
    <w:rsid w:val="00263924"/>
    <w:rsid w:val="002641ED"/>
    <w:rsid w:val="002642E6"/>
    <w:rsid w:val="00264679"/>
    <w:rsid w:val="0026550D"/>
    <w:rsid w:val="00265A64"/>
    <w:rsid w:val="0026669C"/>
    <w:rsid w:val="00267497"/>
    <w:rsid w:val="002675FE"/>
    <w:rsid w:val="002676B0"/>
    <w:rsid w:val="00267F91"/>
    <w:rsid w:val="002703A7"/>
    <w:rsid w:val="002703D5"/>
    <w:rsid w:val="002706A2"/>
    <w:rsid w:val="00270C4B"/>
    <w:rsid w:val="00271378"/>
    <w:rsid w:val="00271AF6"/>
    <w:rsid w:val="00271BCF"/>
    <w:rsid w:val="00272485"/>
    <w:rsid w:val="0027366C"/>
    <w:rsid w:val="00273750"/>
    <w:rsid w:val="0027407C"/>
    <w:rsid w:val="002741C9"/>
    <w:rsid w:val="00274706"/>
    <w:rsid w:val="00274CC1"/>
    <w:rsid w:val="00274F60"/>
    <w:rsid w:val="002750B8"/>
    <w:rsid w:val="0027533F"/>
    <w:rsid w:val="0027599B"/>
    <w:rsid w:val="002759FF"/>
    <w:rsid w:val="00276B52"/>
    <w:rsid w:val="002771F6"/>
    <w:rsid w:val="00277590"/>
    <w:rsid w:val="00280993"/>
    <w:rsid w:val="00283A8F"/>
    <w:rsid w:val="00284E01"/>
    <w:rsid w:val="002853CD"/>
    <w:rsid w:val="002857EB"/>
    <w:rsid w:val="00285B46"/>
    <w:rsid w:val="00286F7F"/>
    <w:rsid w:val="00287653"/>
    <w:rsid w:val="002876A4"/>
    <w:rsid w:val="00287C6C"/>
    <w:rsid w:val="00287F45"/>
    <w:rsid w:val="00290554"/>
    <w:rsid w:val="00290B26"/>
    <w:rsid w:val="0029147D"/>
    <w:rsid w:val="00291848"/>
    <w:rsid w:val="00291AE5"/>
    <w:rsid w:val="00291D3C"/>
    <w:rsid w:val="00292D4D"/>
    <w:rsid w:val="00292DDD"/>
    <w:rsid w:val="00293B90"/>
    <w:rsid w:val="00293C02"/>
    <w:rsid w:val="00296E92"/>
    <w:rsid w:val="002976FA"/>
    <w:rsid w:val="002A020B"/>
    <w:rsid w:val="002A1146"/>
    <w:rsid w:val="002A174F"/>
    <w:rsid w:val="002A1CEA"/>
    <w:rsid w:val="002A226C"/>
    <w:rsid w:val="002A2F85"/>
    <w:rsid w:val="002A359D"/>
    <w:rsid w:val="002A441A"/>
    <w:rsid w:val="002A47B3"/>
    <w:rsid w:val="002A57BE"/>
    <w:rsid w:val="002A5876"/>
    <w:rsid w:val="002A6C75"/>
    <w:rsid w:val="002B0223"/>
    <w:rsid w:val="002B186B"/>
    <w:rsid w:val="002B2731"/>
    <w:rsid w:val="002B3611"/>
    <w:rsid w:val="002B37E4"/>
    <w:rsid w:val="002B3834"/>
    <w:rsid w:val="002B3E2B"/>
    <w:rsid w:val="002B49FE"/>
    <w:rsid w:val="002B52DF"/>
    <w:rsid w:val="002B6B36"/>
    <w:rsid w:val="002B72C5"/>
    <w:rsid w:val="002C0829"/>
    <w:rsid w:val="002C0ADD"/>
    <w:rsid w:val="002C222E"/>
    <w:rsid w:val="002C253B"/>
    <w:rsid w:val="002C26AB"/>
    <w:rsid w:val="002C393F"/>
    <w:rsid w:val="002C520A"/>
    <w:rsid w:val="002C5D4E"/>
    <w:rsid w:val="002C681F"/>
    <w:rsid w:val="002D02FF"/>
    <w:rsid w:val="002D03B9"/>
    <w:rsid w:val="002D0BA6"/>
    <w:rsid w:val="002D10E1"/>
    <w:rsid w:val="002D15D0"/>
    <w:rsid w:val="002D2664"/>
    <w:rsid w:val="002D2831"/>
    <w:rsid w:val="002D2A5F"/>
    <w:rsid w:val="002D2C6B"/>
    <w:rsid w:val="002D3AA5"/>
    <w:rsid w:val="002D4D40"/>
    <w:rsid w:val="002D5098"/>
    <w:rsid w:val="002D51C8"/>
    <w:rsid w:val="002D6879"/>
    <w:rsid w:val="002E0EBA"/>
    <w:rsid w:val="002E1DDF"/>
    <w:rsid w:val="002E24B4"/>
    <w:rsid w:val="002E26CF"/>
    <w:rsid w:val="002E2D2E"/>
    <w:rsid w:val="002E3A76"/>
    <w:rsid w:val="002E4476"/>
    <w:rsid w:val="002E4709"/>
    <w:rsid w:val="002E629A"/>
    <w:rsid w:val="002E73B8"/>
    <w:rsid w:val="002E7552"/>
    <w:rsid w:val="002F0001"/>
    <w:rsid w:val="002F003F"/>
    <w:rsid w:val="002F1175"/>
    <w:rsid w:val="002F215C"/>
    <w:rsid w:val="002F25A3"/>
    <w:rsid w:val="002F301B"/>
    <w:rsid w:val="002F3D3B"/>
    <w:rsid w:val="002F3D84"/>
    <w:rsid w:val="002F4285"/>
    <w:rsid w:val="002F4380"/>
    <w:rsid w:val="002F44F5"/>
    <w:rsid w:val="002F666D"/>
    <w:rsid w:val="002F68E5"/>
    <w:rsid w:val="002F7B05"/>
    <w:rsid w:val="002F7C15"/>
    <w:rsid w:val="002F7D11"/>
    <w:rsid w:val="003003B3"/>
    <w:rsid w:val="003003EF"/>
    <w:rsid w:val="003015D3"/>
    <w:rsid w:val="00301699"/>
    <w:rsid w:val="0030187C"/>
    <w:rsid w:val="003027C1"/>
    <w:rsid w:val="00302D0C"/>
    <w:rsid w:val="003034ED"/>
    <w:rsid w:val="00303B3A"/>
    <w:rsid w:val="00304783"/>
    <w:rsid w:val="003055C2"/>
    <w:rsid w:val="00306634"/>
    <w:rsid w:val="00307B43"/>
    <w:rsid w:val="00310785"/>
    <w:rsid w:val="00310A02"/>
    <w:rsid w:val="00313DC1"/>
    <w:rsid w:val="00314B37"/>
    <w:rsid w:val="00315741"/>
    <w:rsid w:val="00315840"/>
    <w:rsid w:val="00315F02"/>
    <w:rsid w:val="00316E29"/>
    <w:rsid w:val="003172B4"/>
    <w:rsid w:val="0032193C"/>
    <w:rsid w:val="00322869"/>
    <w:rsid w:val="00322883"/>
    <w:rsid w:val="00322A03"/>
    <w:rsid w:val="00322FEE"/>
    <w:rsid w:val="00324D51"/>
    <w:rsid w:val="0032556E"/>
    <w:rsid w:val="00326512"/>
    <w:rsid w:val="00326678"/>
    <w:rsid w:val="00326A62"/>
    <w:rsid w:val="00327B5C"/>
    <w:rsid w:val="00327B99"/>
    <w:rsid w:val="0033010F"/>
    <w:rsid w:val="00331098"/>
    <w:rsid w:val="00331525"/>
    <w:rsid w:val="003315EF"/>
    <w:rsid w:val="00332A96"/>
    <w:rsid w:val="00334C04"/>
    <w:rsid w:val="00334CFC"/>
    <w:rsid w:val="00335FFC"/>
    <w:rsid w:val="00336499"/>
    <w:rsid w:val="00336574"/>
    <w:rsid w:val="003369BC"/>
    <w:rsid w:val="00337A0E"/>
    <w:rsid w:val="003406E5"/>
    <w:rsid w:val="003408F1"/>
    <w:rsid w:val="003409A3"/>
    <w:rsid w:val="00340ADF"/>
    <w:rsid w:val="003416A6"/>
    <w:rsid w:val="00342060"/>
    <w:rsid w:val="00342C20"/>
    <w:rsid w:val="00342C37"/>
    <w:rsid w:val="0034335F"/>
    <w:rsid w:val="003445BF"/>
    <w:rsid w:val="00344756"/>
    <w:rsid w:val="00344C2B"/>
    <w:rsid w:val="00346184"/>
    <w:rsid w:val="003466F4"/>
    <w:rsid w:val="00346819"/>
    <w:rsid w:val="00346D5E"/>
    <w:rsid w:val="00347DD3"/>
    <w:rsid w:val="0035002E"/>
    <w:rsid w:val="0035012C"/>
    <w:rsid w:val="00351472"/>
    <w:rsid w:val="00351823"/>
    <w:rsid w:val="00352DF4"/>
    <w:rsid w:val="003533A3"/>
    <w:rsid w:val="0035350F"/>
    <w:rsid w:val="00353B53"/>
    <w:rsid w:val="00354A47"/>
    <w:rsid w:val="003551E8"/>
    <w:rsid w:val="0035521B"/>
    <w:rsid w:val="00356023"/>
    <w:rsid w:val="00356500"/>
    <w:rsid w:val="003574B1"/>
    <w:rsid w:val="00357E17"/>
    <w:rsid w:val="00357ECF"/>
    <w:rsid w:val="00360010"/>
    <w:rsid w:val="003608B3"/>
    <w:rsid w:val="0036113B"/>
    <w:rsid w:val="003615D4"/>
    <w:rsid w:val="003618A6"/>
    <w:rsid w:val="00361AF1"/>
    <w:rsid w:val="00361ED6"/>
    <w:rsid w:val="00362429"/>
    <w:rsid w:val="00362737"/>
    <w:rsid w:val="00362E81"/>
    <w:rsid w:val="003631AB"/>
    <w:rsid w:val="0036436C"/>
    <w:rsid w:val="003646AF"/>
    <w:rsid w:val="0036556C"/>
    <w:rsid w:val="00366FE3"/>
    <w:rsid w:val="0036707A"/>
    <w:rsid w:val="003704BD"/>
    <w:rsid w:val="003709CC"/>
    <w:rsid w:val="00371B72"/>
    <w:rsid w:val="0037231B"/>
    <w:rsid w:val="003729D4"/>
    <w:rsid w:val="0037372E"/>
    <w:rsid w:val="00374EF7"/>
    <w:rsid w:val="00375415"/>
    <w:rsid w:val="00375DB1"/>
    <w:rsid w:val="003767CB"/>
    <w:rsid w:val="0037739D"/>
    <w:rsid w:val="00377615"/>
    <w:rsid w:val="00380A68"/>
    <w:rsid w:val="003812F3"/>
    <w:rsid w:val="003823B1"/>
    <w:rsid w:val="003831A5"/>
    <w:rsid w:val="00383AB0"/>
    <w:rsid w:val="00383D49"/>
    <w:rsid w:val="0038427A"/>
    <w:rsid w:val="00385081"/>
    <w:rsid w:val="00386C3A"/>
    <w:rsid w:val="00387674"/>
    <w:rsid w:val="0038798C"/>
    <w:rsid w:val="00390238"/>
    <w:rsid w:val="00390754"/>
    <w:rsid w:val="00391317"/>
    <w:rsid w:val="0039136E"/>
    <w:rsid w:val="00392230"/>
    <w:rsid w:val="00392F72"/>
    <w:rsid w:val="00393E2D"/>
    <w:rsid w:val="003942AA"/>
    <w:rsid w:val="0039595C"/>
    <w:rsid w:val="00395FC1"/>
    <w:rsid w:val="003960E8"/>
    <w:rsid w:val="003A0A62"/>
    <w:rsid w:val="003A0FD5"/>
    <w:rsid w:val="003A10FE"/>
    <w:rsid w:val="003A1A60"/>
    <w:rsid w:val="003A32E6"/>
    <w:rsid w:val="003A37BB"/>
    <w:rsid w:val="003A4009"/>
    <w:rsid w:val="003A6088"/>
    <w:rsid w:val="003A68FE"/>
    <w:rsid w:val="003A69A4"/>
    <w:rsid w:val="003A6E02"/>
    <w:rsid w:val="003A7054"/>
    <w:rsid w:val="003A780E"/>
    <w:rsid w:val="003B0B52"/>
    <w:rsid w:val="003B13E0"/>
    <w:rsid w:val="003B2078"/>
    <w:rsid w:val="003B2F4A"/>
    <w:rsid w:val="003B3A44"/>
    <w:rsid w:val="003B4826"/>
    <w:rsid w:val="003B5FFC"/>
    <w:rsid w:val="003B7725"/>
    <w:rsid w:val="003C084C"/>
    <w:rsid w:val="003C1203"/>
    <w:rsid w:val="003C247E"/>
    <w:rsid w:val="003C415E"/>
    <w:rsid w:val="003C4782"/>
    <w:rsid w:val="003C47CB"/>
    <w:rsid w:val="003C4A5B"/>
    <w:rsid w:val="003C4C60"/>
    <w:rsid w:val="003C4D40"/>
    <w:rsid w:val="003C5156"/>
    <w:rsid w:val="003C59D4"/>
    <w:rsid w:val="003C77BC"/>
    <w:rsid w:val="003D02E5"/>
    <w:rsid w:val="003D0C5A"/>
    <w:rsid w:val="003D13AF"/>
    <w:rsid w:val="003D166A"/>
    <w:rsid w:val="003D29B0"/>
    <w:rsid w:val="003D2FDD"/>
    <w:rsid w:val="003D3038"/>
    <w:rsid w:val="003D38A2"/>
    <w:rsid w:val="003D4ABB"/>
    <w:rsid w:val="003D4D3A"/>
    <w:rsid w:val="003D5212"/>
    <w:rsid w:val="003D5643"/>
    <w:rsid w:val="003D6355"/>
    <w:rsid w:val="003D656E"/>
    <w:rsid w:val="003D7024"/>
    <w:rsid w:val="003D7106"/>
    <w:rsid w:val="003D75B9"/>
    <w:rsid w:val="003E0521"/>
    <w:rsid w:val="003E0B8F"/>
    <w:rsid w:val="003E1371"/>
    <w:rsid w:val="003E13FA"/>
    <w:rsid w:val="003E17A6"/>
    <w:rsid w:val="003E1F67"/>
    <w:rsid w:val="003E1FB4"/>
    <w:rsid w:val="003E2BED"/>
    <w:rsid w:val="003E2E2D"/>
    <w:rsid w:val="003E3CA3"/>
    <w:rsid w:val="003E3E14"/>
    <w:rsid w:val="003E3E31"/>
    <w:rsid w:val="003E484E"/>
    <w:rsid w:val="003E4ABB"/>
    <w:rsid w:val="003E4BA5"/>
    <w:rsid w:val="003E4CF6"/>
    <w:rsid w:val="003E737A"/>
    <w:rsid w:val="003F0413"/>
    <w:rsid w:val="003F0643"/>
    <w:rsid w:val="003F07FD"/>
    <w:rsid w:val="003F0837"/>
    <w:rsid w:val="003F0924"/>
    <w:rsid w:val="003F2A01"/>
    <w:rsid w:val="003F2DAF"/>
    <w:rsid w:val="003F3F36"/>
    <w:rsid w:val="003F4039"/>
    <w:rsid w:val="003F4293"/>
    <w:rsid w:val="003F470A"/>
    <w:rsid w:val="003F5107"/>
    <w:rsid w:val="003F6942"/>
    <w:rsid w:val="003F6B01"/>
    <w:rsid w:val="003F6D91"/>
    <w:rsid w:val="003F6DA7"/>
    <w:rsid w:val="003F78CE"/>
    <w:rsid w:val="003F7A13"/>
    <w:rsid w:val="00400C78"/>
    <w:rsid w:val="00401266"/>
    <w:rsid w:val="00403118"/>
    <w:rsid w:val="00403A6C"/>
    <w:rsid w:val="00404853"/>
    <w:rsid w:val="00405DAA"/>
    <w:rsid w:val="00405E4D"/>
    <w:rsid w:val="00406124"/>
    <w:rsid w:val="004063BA"/>
    <w:rsid w:val="00407084"/>
    <w:rsid w:val="0040753A"/>
    <w:rsid w:val="0041029F"/>
    <w:rsid w:val="004104BC"/>
    <w:rsid w:val="00410D31"/>
    <w:rsid w:val="004126FE"/>
    <w:rsid w:val="0041298D"/>
    <w:rsid w:val="00412E69"/>
    <w:rsid w:val="00413611"/>
    <w:rsid w:val="00414B03"/>
    <w:rsid w:val="00414C68"/>
    <w:rsid w:val="00415187"/>
    <w:rsid w:val="0041670F"/>
    <w:rsid w:val="004168A5"/>
    <w:rsid w:val="00416B5B"/>
    <w:rsid w:val="00417455"/>
    <w:rsid w:val="00417AFF"/>
    <w:rsid w:val="00417BD5"/>
    <w:rsid w:val="00420BD3"/>
    <w:rsid w:val="00420E67"/>
    <w:rsid w:val="00421946"/>
    <w:rsid w:val="00422755"/>
    <w:rsid w:val="00422A1C"/>
    <w:rsid w:val="00422A39"/>
    <w:rsid w:val="00422EA9"/>
    <w:rsid w:val="00423453"/>
    <w:rsid w:val="00423792"/>
    <w:rsid w:val="004238DD"/>
    <w:rsid w:val="00423A80"/>
    <w:rsid w:val="00423CC1"/>
    <w:rsid w:val="004243A3"/>
    <w:rsid w:val="00425145"/>
    <w:rsid w:val="00425541"/>
    <w:rsid w:val="00425BC2"/>
    <w:rsid w:val="00425C58"/>
    <w:rsid w:val="00427BEA"/>
    <w:rsid w:val="004310E0"/>
    <w:rsid w:val="0043138D"/>
    <w:rsid w:val="004316D2"/>
    <w:rsid w:val="00432066"/>
    <w:rsid w:val="0043232D"/>
    <w:rsid w:val="0043399E"/>
    <w:rsid w:val="004339D6"/>
    <w:rsid w:val="00434626"/>
    <w:rsid w:val="00434AD3"/>
    <w:rsid w:val="00434F12"/>
    <w:rsid w:val="004364DA"/>
    <w:rsid w:val="00436E42"/>
    <w:rsid w:val="00437090"/>
    <w:rsid w:val="004378B0"/>
    <w:rsid w:val="00437D40"/>
    <w:rsid w:val="004420F8"/>
    <w:rsid w:val="0044263E"/>
    <w:rsid w:val="004426B1"/>
    <w:rsid w:val="0044339D"/>
    <w:rsid w:val="0044341B"/>
    <w:rsid w:val="00443DE3"/>
    <w:rsid w:val="00444233"/>
    <w:rsid w:val="00445D7B"/>
    <w:rsid w:val="00447163"/>
    <w:rsid w:val="00447AFD"/>
    <w:rsid w:val="00450BBD"/>
    <w:rsid w:val="004510B8"/>
    <w:rsid w:val="004525B4"/>
    <w:rsid w:val="00453C55"/>
    <w:rsid w:val="00454281"/>
    <w:rsid w:val="00456109"/>
    <w:rsid w:val="004561CC"/>
    <w:rsid w:val="00456CF8"/>
    <w:rsid w:val="00460DCB"/>
    <w:rsid w:val="0046163D"/>
    <w:rsid w:val="00461E3F"/>
    <w:rsid w:val="00463D4B"/>
    <w:rsid w:val="00465FCE"/>
    <w:rsid w:val="004713A8"/>
    <w:rsid w:val="00471939"/>
    <w:rsid w:val="00471F2E"/>
    <w:rsid w:val="00472059"/>
    <w:rsid w:val="00472990"/>
    <w:rsid w:val="00472AFD"/>
    <w:rsid w:val="00473B1E"/>
    <w:rsid w:val="00473E3F"/>
    <w:rsid w:val="00474566"/>
    <w:rsid w:val="00474C87"/>
    <w:rsid w:val="00475CAE"/>
    <w:rsid w:val="00475F45"/>
    <w:rsid w:val="00476C59"/>
    <w:rsid w:val="004771C8"/>
    <w:rsid w:val="0047735D"/>
    <w:rsid w:val="00480386"/>
    <w:rsid w:val="0048069E"/>
    <w:rsid w:val="00482186"/>
    <w:rsid w:val="00482676"/>
    <w:rsid w:val="00482B49"/>
    <w:rsid w:val="0048319D"/>
    <w:rsid w:val="0048397B"/>
    <w:rsid w:val="00483DB3"/>
    <w:rsid w:val="00485A1A"/>
    <w:rsid w:val="004865BD"/>
    <w:rsid w:val="00486B85"/>
    <w:rsid w:val="004877B5"/>
    <w:rsid w:val="00490539"/>
    <w:rsid w:val="00490B11"/>
    <w:rsid w:val="00492FCA"/>
    <w:rsid w:val="00493D14"/>
    <w:rsid w:val="0049421C"/>
    <w:rsid w:val="0049441D"/>
    <w:rsid w:val="00494E27"/>
    <w:rsid w:val="00494F7E"/>
    <w:rsid w:val="00494FCD"/>
    <w:rsid w:val="0049528B"/>
    <w:rsid w:val="00496E00"/>
    <w:rsid w:val="00497858"/>
    <w:rsid w:val="00497C52"/>
    <w:rsid w:val="004A03C8"/>
    <w:rsid w:val="004A19EA"/>
    <w:rsid w:val="004A2617"/>
    <w:rsid w:val="004A28A1"/>
    <w:rsid w:val="004A3BF8"/>
    <w:rsid w:val="004A4583"/>
    <w:rsid w:val="004A47EA"/>
    <w:rsid w:val="004A4D26"/>
    <w:rsid w:val="004A4FE1"/>
    <w:rsid w:val="004A553F"/>
    <w:rsid w:val="004A669A"/>
    <w:rsid w:val="004A6F8D"/>
    <w:rsid w:val="004A6FAF"/>
    <w:rsid w:val="004B1C44"/>
    <w:rsid w:val="004B1E35"/>
    <w:rsid w:val="004B397D"/>
    <w:rsid w:val="004B3A02"/>
    <w:rsid w:val="004B471E"/>
    <w:rsid w:val="004B5C26"/>
    <w:rsid w:val="004B5D20"/>
    <w:rsid w:val="004B61C3"/>
    <w:rsid w:val="004B636D"/>
    <w:rsid w:val="004C036B"/>
    <w:rsid w:val="004C05C8"/>
    <w:rsid w:val="004C0766"/>
    <w:rsid w:val="004C152F"/>
    <w:rsid w:val="004C2849"/>
    <w:rsid w:val="004C2991"/>
    <w:rsid w:val="004C2F5A"/>
    <w:rsid w:val="004C3CE6"/>
    <w:rsid w:val="004C3F37"/>
    <w:rsid w:val="004C409B"/>
    <w:rsid w:val="004C6E37"/>
    <w:rsid w:val="004C7ACC"/>
    <w:rsid w:val="004D01BF"/>
    <w:rsid w:val="004D0652"/>
    <w:rsid w:val="004D09AA"/>
    <w:rsid w:val="004D14C1"/>
    <w:rsid w:val="004D19E4"/>
    <w:rsid w:val="004D32F5"/>
    <w:rsid w:val="004D4245"/>
    <w:rsid w:val="004D463F"/>
    <w:rsid w:val="004D52E0"/>
    <w:rsid w:val="004D629A"/>
    <w:rsid w:val="004D6867"/>
    <w:rsid w:val="004D6932"/>
    <w:rsid w:val="004D725A"/>
    <w:rsid w:val="004D79D7"/>
    <w:rsid w:val="004E020B"/>
    <w:rsid w:val="004E0C83"/>
    <w:rsid w:val="004E1F84"/>
    <w:rsid w:val="004E2222"/>
    <w:rsid w:val="004E2B84"/>
    <w:rsid w:val="004E2BBF"/>
    <w:rsid w:val="004E3502"/>
    <w:rsid w:val="004E3FD0"/>
    <w:rsid w:val="004E4536"/>
    <w:rsid w:val="004E4EB9"/>
    <w:rsid w:val="004E63D8"/>
    <w:rsid w:val="004E6679"/>
    <w:rsid w:val="004E66A1"/>
    <w:rsid w:val="004E7032"/>
    <w:rsid w:val="004E7769"/>
    <w:rsid w:val="004E7891"/>
    <w:rsid w:val="004F0071"/>
    <w:rsid w:val="004F021A"/>
    <w:rsid w:val="004F0460"/>
    <w:rsid w:val="004F0908"/>
    <w:rsid w:val="004F0E9D"/>
    <w:rsid w:val="004F0FE5"/>
    <w:rsid w:val="004F21C8"/>
    <w:rsid w:val="004F2807"/>
    <w:rsid w:val="004F42C8"/>
    <w:rsid w:val="004F43C9"/>
    <w:rsid w:val="004F43EF"/>
    <w:rsid w:val="004F47F3"/>
    <w:rsid w:val="004F4CE6"/>
    <w:rsid w:val="004F50B5"/>
    <w:rsid w:val="004F512A"/>
    <w:rsid w:val="004F5EF9"/>
    <w:rsid w:val="004F5F08"/>
    <w:rsid w:val="004F6462"/>
    <w:rsid w:val="004F646E"/>
    <w:rsid w:val="004F6A6A"/>
    <w:rsid w:val="004F79C0"/>
    <w:rsid w:val="00501832"/>
    <w:rsid w:val="00501B19"/>
    <w:rsid w:val="00502278"/>
    <w:rsid w:val="00502425"/>
    <w:rsid w:val="005027B0"/>
    <w:rsid w:val="005031DC"/>
    <w:rsid w:val="0050428A"/>
    <w:rsid w:val="0050433B"/>
    <w:rsid w:val="00504D87"/>
    <w:rsid w:val="00505DA6"/>
    <w:rsid w:val="00505E0C"/>
    <w:rsid w:val="00506030"/>
    <w:rsid w:val="00506560"/>
    <w:rsid w:val="00506C4C"/>
    <w:rsid w:val="0050735D"/>
    <w:rsid w:val="00507BC0"/>
    <w:rsid w:val="00507F9D"/>
    <w:rsid w:val="00510230"/>
    <w:rsid w:val="00511D98"/>
    <w:rsid w:val="00511F6E"/>
    <w:rsid w:val="005124D0"/>
    <w:rsid w:val="005125DB"/>
    <w:rsid w:val="00512691"/>
    <w:rsid w:val="005134FE"/>
    <w:rsid w:val="00515010"/>
    <w:rsid w:val="00515147"/>
    <w:rsid w:val="00515B84"/>
    <w:rsid w:val="00515C6B"/>
    <w:rsid w:val="0051630A"/>
    <w:rsid w:val="00516549"/>
    <w:rsid w:val="00516583"/>
    <w:rsid w:val="00517251"/>
    <w:rsid w:val="00517D1B"/>
    <w:rsid w:val="00517DC1"/>
    <w:rsid w:val="00520718"/>
    <w:rsid w:val="00520A18"/>
    <w:rsid w:val="00520E99"/>
    <w:rsid w:val="005223CD"/>
    <w:rsid w:val="00522DCD"/>
    <w:rsid w:val="0052321B"/>
    <w:rsid w:val="005239B2"/>
    <w:rsid w:val="00523E2F"/>
    <w:rsid w:val="00524D0A"/>
    <w:rsid w:val="005253FB"/>
    <w:rsid w:val="00526EF3"/>
    <w:rsid w:val="00527A58"/>
    <w:rsid w:val="00530825"/>
    <w:rsid w:val="005312A0"/>
    <w:rsid w:val="00531C4D"/>
    <w:rsid w:val="00532CBA"/>
    <w:rsid w:val="0053497B"/>
    <w:rsid w:val="00534E7B"/>
    <w:rsid w:val="0053569B"/>
    <w:rsid w:val="0053643A"/>
    <w:rsid w:val="00536947"/>
    <w:rsid w:val="00536D5F"/>
    <w:rsid w:val="00537732"/>
    <w:rsid w:val="00537A89"/>
    <w:rsid w:val="00541D23"/>
    <w:rsid w:val="005421FE"/>
    <w:rsid w:val="00542F8B"/>
    <w:rsid w:val="00543C5F"/>
    <w:rsid w:val="00543DE9"/>
    <w:rsid w:val="00545178"/>
    <w:rsid w:val="00545458"/>
    <w:rsid w:val="0054673D"/>
    <w:rsid w:val="00546A96"/>
    <w:rsid w:val="00552292"/>
    <w:rsid w:val="00552A25"/>
    <w:rsid w:val="00552D64"/>
    <w:rsid w:val="00553C08"/>
    <w:rsid w:val="0055434E"/>
    <w:rsid w:val="0055436A"/>
    <w:rsid w:val="00554632"/>
    <w:rsid w:val="005549BE"/>
    <w:rsid w:val="0055544B"/>
    <w:rsid w:val="00555A8A"/>
    <w:rsid w:val="00556508"/>
    <w:rsid w:val="005567EE"/>
    <w:rsid w:val="0055764F"/>
    <w:rsid w:val="00557687"/>
    <w:rsid w:val="00557B63"/>
    <w:rsid w:val="00557C6C"/>
    <w:rsid w:val="00557DE6"/>
    <w:rsid w:val="005610CE"/>
    <w:rsid w:val="00561572"/>
    <w:rsid w:val="00562600"/>
    <w:rsid w:val="005626D5"/>
    <w:rsid w:val="005627D4"/>
    <w:rsid w:val="00562CB7"/>
    <w:rsid w:val="00562D84"/>
    <w:rsid w:val="00563121"/>
    <w:rsid w:val="0056392F"/>
    <w:rsid w:val="005643E2"/>
    <w:rsid w:val="00564C17"/>
    <w:rsid w:val="0056592B"/>
    <w:rsid w:val="00566032"/>
    <w:rsid w:val="0056656C"/>
    <w:rsid w:val="00566A23"/>
    <w:rsid w:val="0056726D"/>
    <w:rsid w:val="005676F3"/>
    <w:rsid w:val="0056778F"/>
    <w:rsid w:val="0057231E"/>
    <w:rsid w:val="005725E7"/>
    <w:rsid w:val="00572869"/>
    <w:rsid w:val="00572D5E"/>
    <w:rsid w:val="00575C3A"/>
    <w:rsid w:val="00576B51"/>
    <w:rsid w:val="0057791B"/>
    <w:rsid w:val="005810D1"/>
    <w:rsid w:val="00582396"/>
    <w:rsid w:val="005823AF"/>
    <w:rsid w:val="00582CEB"/>
    <w:rsid w:val="0058338C"/>
    <w:rsid w:val="005834F4"/>
    <w:rsid w:val="005834FA"/>
    <w:rsid w:val="005850A9"/>
    <w:rsid w:val="005852A9"/>
    <w:rsid w:val="005860F6"/>
    <w:rsid w:val="005864EC"/>
    <w:rsid w:val="00587284"/>
    <w:rsid w:val="00587801"/>
    <w:rsid w:val="00587E85"/>
    <w:rsid w:val="00587F76"/>
    <w:rsid w:val="00590A1B"/>
    <w:rsid w:val="00590CC2"/>
    <w:rsid w:val="00590D61"/>
    <w:rsid w:val="0059120A"/>
    <w:rsid w:val="00591404"/>
    <w:rsid w:val="00591C23"/>
    <w:rsid w:val="005921EE"/>
    <w:rsid w:val="0059243B"/>
    <w:rsid w:val="005926C5"/>
    <w:rsid w:val="005929F2"/>
    <w:rsid w:val="00592A67"/>
    <w:rsid w:val="00594A4F"/>
    <w:rsid w:val="00594F42"/>
    <w:rsid w:val="00595AB7"/>
    <w:rsid w:val="00595ADA"/>
    <w:rsid w:val="005972A1"/>
    <w:rsid w:val="005A0ABF"/>
    <w:rsid w:val="005A0B8E"/>
    <w:rsid w:val="005A1F14"/>
    <w:rsid w:val="005A2633"/>
    <w:rsid w:val="005A3417"/>
    <w:rsid w:val="005A4A1D"/>
    <w:rsid w:val="005A52FA"/>
    <w:rsid w:val="005A5C7D"/>
    <w:rsid w:val="005A6F09"/>
    <w:rsid w:val="005B0477"/>
    <w:rsid w:val="005B07B5"/>
    <w:rsid w:val="005B07FF"/>
    <w:rsid w:val="005B1623"/>
    <w:rsid w:val="005B2049"/>
    <w:rsid w:val="005B228B"/>
    <w:rsid w:val="005B2AB3"/>
    <w:rsid w:val="005B5A6E"/>
    <w:rsid w:val="005B72C0"/>
    <w:rsid w:val="005C0CE3"/>
    <w:rsid w:val="005C17A7"/>
    <w:rsid w:val="005C3F92"/>
    <w:rsid w:val="005C4B78"/>
    <w:rsid w:val="005C4DF2"/>
    <w:rsid w:val="005C4EE8"/>
    <w:rsid w:val="005C5C8F"/>
    <w:rsid w:val="005C750C"/>
    <w:rsid w:val="005C7B42"/>
    <w:rsid w:val="005C7B4C"/>
    <w:rsid w:val="005D0B88"/>
    <w:rsid w:val="005D109D"/>
    <w:rsid w:val="005D21EC"/>
    <w:rsid w:val="005D23D7"/>
    <w:rsid w:val="005D26D6"/>
    <w:rsid w:val="005D2E82"/>
    <w:rsid w:val="005D32AE"/>
    <w:rsid w:val="005D3840"/>
    <w:rsid w:val="005D42AE"/>
    <w:rsid w:val="005D5411"/>
    <w:rsid w:val="005D544D"/>
    <w:rsid w:val="005D64FE"/>
    <w:rsid w:val="005D6885"/>
    <w:rsid w:val="005D7A39"/>
    <w:rsid w:val="005D7D6B"/>
    <w:rsid w:val="005D7E45"/>
    <w:rsid w:val="005E1EE0"/>
    <w:rsid w:val="005E297E"/>
    <w:rsid w:val="005E3733"/>
    <w:rsid w:val="005E37BF"/>
    <w:rsid w:val="005E48DE"/>
    <w:rsid w:val="005E4918"/>
    <w:rsid w:val="005E4FF4"/>
    <w:rsid w:val="005E5DA6"/>
    <w:rsid w:val="005E61AE"/>
    <w:rsid w:val="005E68DF"/>
    <w:rsid w:val="005E6C7F"/>
    <w:rsid w:val="005E715C"/>
    <w:rsid w:val="005F185B"/>
    <w:rsid w:val="005F295F"/>
    <w:rsid w:val="005F2D6C"/>
    <w:rsid w:val="005F334C"/>
    <w:rsid w:val="005F37B1"/>
    <w:rsid w:val="005F40FC"/>
    <w:rsid w:val="005F5991"/>
    <w:rsid w:val="005F62DC"/>
    <w:rsid w:val="005F6F5C"/>
    <w:rsid w:val="005F7282"/>
    <w:rsid w:val="005F7DC0"/>
    <w:rsid w:val="005F7EEC"/>
    <w:rsid w:val="006004AB"/>
    <w:rsid w:val="00601A1C"/>
    <w:rsid w:val="00602E74"/>
    <w:rsid w:val="00603248"/>
    <w:rsid w:val="0060383B"/>
    <w:rsid w:val="0060421F"/>
    <w:rsid w:val="00605133"/>
    <w:rsid w:val="00605BB5"/>
    <w:rsid w:val="00605C9B"/>
    <w:rsid w:val="00606F8C"/>
    <w:rsid w:val="00607FB8"/>
    <w:rsid w:val="00610C41"/>
    <w:rsid w:val="00611CAE"/>
    <w:rsid w:val="00611D85"/>
    <w:rsid w:val="00611D96"/>
    <w:rsid w:val="00612295"/>
    <w:rsid w:val="00612F0D"/>
    <w:rsid w:val="00613220"/>
    <w:rsid w:val="00613857"/>
    <w:rsid w:val="00613BFC"/>
    <w:rsid w:val="00613E43"/>
    <w:rsid w:val="0061482E"/>
    <w:rsid w:val="0061589F"/>
    <w:rsid w:val="00615B4A"/>
    <w:rsid w:val="00615EA9"/>
    <w:rsid w:val="00616094"/>
    <w:rsid w:val="00616942"/>
    <w:rsid w:val="00620625"/>
    <w:rsid w:val="006209D0"/>
    <w:rsid w:val="006211E7"/>
    <w:rsid w:val="00621B14"/>
    <w:rsid w:val="00623E7F"/>
    <w:rsid w:val="0062637B"/>
    <w:rsid w:val="0062689A"/>
    <w:rsid w:val="006318E5"/>
    <w:rsid w:val="00632027"/>
    <w:rsid w:val="006325A1"/>
    <w:rsid w:val="006329A6"/>
    <w:rsid w:val="006332FF"/>
    <w:rsid w:val="0063358D"/>
    <w:rsid w:val="00633A1B"/>
    <w:rsid w:val="00633D29"/>
    <w:rsid w:val="00634749"/>
    <w:rsid w:val="00635639"/>
    <w:rsid w:val="00635715"/>
    <w:rsid w:val="006375EC"/>
    <w:rsid w:val="00637640"/>
    <w:rsid w:val="006403D5"/>
    <w:rsid w:val="006405A0"/>
    <w:rsid w:val="006405FB"/>
    <w:rsid w:val="006413BF"/>
    <w:rsid w:val="00642855"/>
    <w:rsid w:val="00642AAB"/>
    <w:rsid w:val="006441B2"/>
    <w:rsid w:val="006443F5"/>
    <w:rsid w:val="00644539"/>
    <w:rsid w:val="00644559"/>
    <w:rsid w:val="00644A91"/>
    <w:rsid w:val="00644D7A"/>
    <w:rsid w:val="00645656"/>
    <w:rsid w:val="006465CB"/>
    <w:rsid w:val="006469D3"/>
    <w:rsid w:val="00646FFA"/>
    <w:rsid w:val="00650ECF"/>
    <w:rsid w:val="0065220B"/>
    <w:rsid w:val="00652821"/>
    <w:rsid w:val="006532C1"/>
    <w:rsid w:val="00653E02"/>
    <w:rsid w:val="00653F7C"/>
    <w:rsid w:val="0065581A"/>
    <w:rsid w:val="006562FB"/>
    <w:rsid w:val="00657BD4"/>
    <w:rsid w:val="00660649"/>
    <w:rsid w:val="00660C3D"/>
    <w:rsid w:val="00660E83"/>
    <w:rsid w:val="00661016"/>
    <w:rsid w:val="00661474"/>
    <w:rsid w:val="00662538"/>
    <w:rsid w:val="00662E5A"/>
    <w:rsid w:val="00663F6A"/>
    <w:rsid w:val="006640D2"/>
    <w:rsid w:val="00664458"/>
    <w:rsid w:val="00664943"/>
    <w:rsid w:val="00664D6B"/>
    <w:rsid w:val="00665688"/>
    <w:rsid w:val="00665C05"/>
    <w:rsid w:val="00665DDB"/>
    <w:rsid w:val="0066656E"/>
    <w:rsid w:val="00666F33"/>
    <w:rsid w:val="006675A5"/>
    <w:rsid w:val="00667DFD"/>
    <w:rsid w:val="00667F2B"/>
    <w:rsid w:val="00671604"/>
    <w:rsid w:val="00671939"/>
    <w:rsid w:val="00671B34"/>
    <w:rsid w:val="00671D02"/>
    <w:rsid w:val="00671EA7"/>
    <w:rsid w:val="006725F2"/>
    <w:rsid w:val="00672BBC"/>
    <w:rsid w:val="0067395D"/>
    <w:rsid w:val="006747AD"/>
    <w:rsid w:val="00675A32"/>
    <w:rsid w:val="006760CE"/>
    <w:rsid w:val="00680BE6"/>
    <w:rsid w:val="00680E66"/>
    <w:rsid w:val="00681D2F"/>
    <w:rsid w:val="00681D49"/>
    <w:rsid w:val="006821BC"/>
    <w:rsid w:val="006828F2"/>
    <w:rsid w:val="00684A4A"/>
    <w:rsid w:val="00684E7A"/>
    <w:rsid w:val="00684E8F"/>
    <w:rsid w:val="00685BFE"/>
    <w:rsid w:val="0068786D"/>
    <w:rsid w:val="00687B15"/>
    <w:rsid w:val="00691481"/>
    <w:rsid w:val="0069206B"/>
    <w:rsid w:val="00692212"/>
    <w:rsid w:val="006930DA"/>
    <w:rsid w:val="006949B3"/>
    <w:rsid w:val="0069514A"/>
    <w:rsid w:val="00695296"/>
    <w:rsid w:val="00695A54"/>
    <w:rsid w:val="00696A52"/>
    <w:rsid w:val="006A00EA"/>
    <w:rsid w:val="006A0769"/>
    <w:rsid w:val="006A275B"/>
    <w:rsid w:val="006A3013"/>
    <w:rsid w:val="006A3721"/>
    <w:rsid w:val="006A44EB"/>
    <w:rsid w:val="006A4682"/>
    <w:rsid w:val="006A57FC"/>
    <w:rsid w:val="006A5D30"/>
    <w:rsid w:val="006A5FA9"/>
    <w:rsid w:val="006A614F"/>
    <w:rsid w:val="006A65D0"/>
    <w:rsid w:val="006A6B54"/>
    <w:rsid w:val="006A761E"/>
    <w:rsid w:val="006A7B31"/>
    <w:rsid w:val="006A7EA8"/>
    <w:rsid w:val="006B06E6"/>
    <w:rsid w:val="006B1278"/>
    <w:rsid w:val="006B1EC4"/>
    <w:rsid w:val="006B22EF"/>
    <w:rsid w:val="006B2550"/>
    <w:rsid w:val="006B2706"/>
    <w:rsid w:val="006B3196"/>
    <w:rsid w:val="006B3BCF"/>
    <w:rsid w:val="006B4DD9"/>
    <w:rsid w:val="006B576F"/>
    <w:rsid w:val="006B59CF"/>
    <w:rsid w:val="006B72B5"/>
    <w:rsid w:val="006C061A"/>
    <w:rsid w:val="006C07F1"/>
    <w:rsid w:val="006C08A8"/>
    <w:rsid w:val="006C0F42"/>
    <w:rsid w:val="006C11C7"/>
    <w:rsid w:val="006C16A3"/>
    <w:rsid w:val="006C3CA8"/>
    <w:rsid w:val="006C4017"/>
    <w:rsid w:val="006C4DE0"/>
    <w:rsid w:val="006C6C73"/>
    <w:rsid w:val="006C7801"/>
    <w:rsid w:val="006C7DC4"/>
    <w:rsid w:val="006D0486"/>
    <w:rsid w:val="006D04E6"/>
    <w:rsid w:val="006D0F5A"/>
    <w:rsid w:val="006D183A"/>
    <w:rsid w:val="006D1885"/>
    <w:rsid w:val="006D1F01"/>
    <w:rsid w:val="006D33A3"/>
    <w:rsid w:val="006D5034"/>
    <w:rsid w:val="006D5045"/>
    <w:rsid w:val="006D6B52"/>
    <w:rsid w:val="006D6DF4"/>
    <w:rsid w:val="006D70EF"/>
    <w:rsid w:val="006D7250"/>
    <w:rsid w:val="006D73CE"/>
    <w:rsid w:val="006D7474"/>
    <w:rsid w:val="006D7E13"/>
    <w:rsid w:val="006E15C3"/>
    <w:rsid w:val="006E33E5"/>
    <w:rsid w:val="006E3432"/>
    <w:rsid w:val="006E372C"/>
    <w:rsid w:val="006E3A9A"/>
    <w:rsid w:val="006E3FB0"/>
    <w:rsid w:val="006E41C8"/>
    <w:rsid w:val="006E69EC"/>
    <w:rsid w:val="006E7093"/>
    <w:rsid w:val="006E7ECE"/>
    <w:rsid w:val="006F0FC9"/>
    <w:rsid w:val="006F1099"/>
    <w:rsid w:val="006F21B5"/>
    <w:rsid w:val="006F4354"/>
    <w:rsid w:val="006F4F47"/>
    <w:rsid w:val="006F4F9A"/>
    <w:rsid w:val="006F53BA"/>
    <w:rsid w:val="006F53D4"/>
    <w:rsid w:val="006F66EB"/>
    <w:rsid w:val="006F6E0F"/>
    <w:rsid w:val="007003EA"/>
    <w:rsid w:val="00700C36"/>
    <w:rsid w:val="00701D30"/>
    <w:rsid w:val="00701FD7"/>
    <w:rsid w:val="00702165"/>
    <w:rsid w:val="007026E7"/>
    <w:rsid w:val="00702A99"/>
    <w:rsid w:val="00703495"/>
    <w:rsid w:val="0070353B"/>
    <w:rsid w:val="007035F5"/>
    <w:rsid w:val="00703B91"/>
    <w:rsid w:val="0070412A"/>
    <w:rsid w:val="00704271"/>
    <w:rsid w:val="0070429D"/>
    <w:rsid w:val="00704583"/>
    <w:rsid w:val="00704765"/>
    <w:rsid w:val="00705287"/>
    <w:rsid w:val="0070528D"/>
    <w:rsid w:val="00705AA8"/>
    <w:rsid w:val="00705E96"/>
    <w:rsid w:val="00705F0C"/>
    <w:rsid w:val="00706037"/>
    <w:rsid w:val="00706487"/>
    <w:rsid w:val="0070769A"/>
    <w:rsid w:val="00707882"/>
    <w:rsid w:val="00707FFE"/>
    <w:rsid w:val="007113CE"/>
    <w:rsid w:val="00711996"/>
    <w:rsid w:val="00712067"/>
    <w:rsid w:val="00715460"/>
    <w:rsid w:val="0071559F"/>
    <w:rsid w:val="007155EF"/>
    <w:rsid w:val="00717399"/>
    <w:rsid w:val="007211DD"/>
    <w:rsid w:val="00722F6F"/>
    <w:rsid w:val="00723554"/>
    <w:rsid w:val="00724038"/>
    <w:rsid w:val="00724567"/>
    <w:rsid w:val="007248A3"/>
    <w:rsid w:val="007267B6"/>
    <w:rsid w:val="007278E8"/>
    <w:rsid w:val="007303B9"/>
    <w:rsid w:val="0073082C"/>
    <w:rsid w:val="00730F2B"/>
    <w:rsid w:val="0073195D"/>
    <w:rsid w:val="007323D9"/>
    <w:rsid w:val="0073242A"/>
    <w:rsid w:val="0073261C"/>
    <w:rsid w:val="007328F1"/>
    <w:rsid w:val="00732932"/>
    <w:rsid w:val="00733398"/>
    <w:rsid w:val="00733820"/>
    <w:rsid w:val="00733ED4"/>
    <w:rsid w:val="00734694"/>
    <w:rsid w:val="0073739E"/>
    <w:rsid w:val="00737AF8"/>
    <w:rsid w:val="0074017D"/>
    <w:rsid w:val="00741C4C"/>
    <w:rsid w:val="007428AD"/>
    <w:rsid w:val="00744D58"/>
    <w:rsid w:val="00745537"/>
    <w:rsid w:val="00747DF2"/>
    <w:rsid w:val="00750514"/>
    <w:rsid w:val="00751525"/>
    <w:rsid w:val="007515C1"/>
    <w:rsid w:val="00751C92"/>
    <w:rsid w:val="0075327A"/>
    <w:rsid w:val="00753375"/>
    <w:rsid w:val="00754135"/>
    <w:rsid w:val="00754617"/>
    <w:rsid w:val="007555E8"/>
    <w:rsid w:val="007568CB"/>
    <w:rsid w:val="00757068"/>
    <w:rsid w:val="007576B4"/>
    <w:rsid w:val="00757D87"/>
    <w:rsid w:val="00760352"/>
    <w:rsid w:val="00760418"/>
    <w:rsid w:val="00760B15"/>
    <w:rsid w:val="0076159F"/>
    <w:rsid w:val="00762183"/>
    <w:rsid w:val="00762475"/>
    <w:rsid w:val="007627C0"/>
    <w:rsid w:val="00763013"/>
    <w:rsid w:val="00763101"/>
    <w:rsid w:val="007637C2"/>
    <w:rsid w:val="007644A4"/>
    <w:rsid w:val="007649A8"/>
    <w:rsid w:val="00764CC8"/>
    <w:rsid w:val="00765328"/>
    <w:rsid w:val="0076563F"/>
    <w:rsid w:val="0076573B"/>
    <w:rsid w:val="00765AB6"/>
    <w:rsid w:val="0076791A"/>
    <w:rsid w:val="00767942"/>
    <w:rsid w:val="00770225"/>
    <w:rsid w:val="00770A22"/>
    <w:rsid w:val="00770D73"/>
    <w:rsid w:val="0077120D"/>
    <w:rsid w:val="00771AB2"/>
    <w:rsid w:val="00771D7A"/>
    <w:rsid w:val="007720EF"/>
    <w:rsid w:val="007721D4"/>
    <w:rsid w:val="00772656"/>
    <w:rsid w:val="00773512"/>
    <w:rsid w:val="00773948"/>
    <w:rsid w:val="00774782"/>
    <w:rsid w:val="00774831"/>
    <w:rsid w:val="00775800"/>
    <w:rsid w:val="007762D1"/>
    <w:rsid w:val="00776544"/>
    <w:rsid w:val="00776738"/>
    <w:rsid w:val="00776A67"/>
    <w:rsid w:val="00776BF4"/>
    <w:rsid w:val="00777D4A"/>
    <w:rsid w:val="007804C7"/>
    <w:rsid w:val="00780729"/>
    <w:rsid w:val="00780810"/>
    <w:rsid w:val="00781C9F"/>
    <w:rsid w:val="007835E9"/>
    <w:rsid w:val="00783737"/>
    <w:rsid w:val="00783876"/>
    <w:rsid w:val="0078452A"/>
    <w:rsid w:val="00784744"/>
    <w:rsid w:val="00784821"/>
    <w:rsid w:val="0078568A"/>
    <w:rsid w:val="00785FA0"/>
    <w:rsid w:val="00786279"/>
    <w:rsid w:val="007869F7"/>
    <w:rsid w:val="0078741D"/>
    <w:rsid w:val="00790515"/>
    <w:rsid w:val="00790AE0"/>
    <w:rsid w:val="00792BFC"/>
    <w:rsid w:val="00792C05"/>
    <w:rsid w:val="0079338C"/>
    <w:rsid w:val="00794071"/>
    <w:rsid w:val="00795472"/>
    <w:rsid w:val="007954BF"/>
    <w:rsid w:val="007956B1"/>
    <w:rsid w:val="00795DBC"/>
    <w:rsid w:val="00796B1D"/>
    <w:rsid w:val="00796E26"/>
    <w:rsid w:val="0079720B"/>
    <w:rsid w:val="007A1C6F"/>
    <w:rsid w:val="007A1DB0"/>
    <w:rsid w:val="007A265B"/>
    <w:rsid w:val="007A3676"/>
    <w:rsid w:val="007A3E0C"/>
    <w:rsid w:val="007A4C60"/>
    <w:rsid w:val="007A4CA7"/>
    <w:rsid w:val="007A5403"/>
    <w:rsid w:val="007A543E"/>
    <w:rsid w:val="007A5EDC"/>
    <w:rsid w:val="007A6233"/>
    <w:rsid w:val="007A643F"/>
    <w:rsid w:val="007A6898"/>
    <w:rsid w:val="007A72A3"/>
    <w:rsid w:val="007A7424"/>
    <w:rsid w:val="007A7E54"/>
    <w:rsid w:val="007B0BBE"/>
    <w:rsid w:val="007B0D5B"/>
    <w:rsid w:val="007B1294"/>
    <w:rsid w:val="007B1C5B"/>
    <w:rsid w:val="007B1D46"/>
    <w:rsid w:val="007B1E1A"/>
    <w:rsid w:val="007B25D7"/>
    <w:rsid w:val="007B25DE"/>
    <w:rsid w:val="007B2644"/>
    <w:rsid w:val="007B2BC8"/>
    <w:rsid w:val="007B2F73"/>
    <w:rsid w:val="007B419C"/>
    <w:rsid w:val="007B42B3"/>
    <w:rsid w:val="007B468C"/>
    <w:rsid w:val="007B561C"/>
    <w:rsid w:val="007B604D"/>
    <w:rsid w:val="007B643A"/>
    <w:rsid w:val="007B74ED"/>
    <w:rsid w:val="007B7B50"/>
    <w:rsid w:val="007C088F"/>
    <w:rsid w:val="007C1673"/>
    <w:rsid w:val="007C1922"/>
    <w:rsid w:val="007C26F0"/>
    <w:rsid w:val="007C36F7"/>
    <w:rsid w:val="007C3C56"/>
    <w:rsid w:val="007C41FF"/>
    <w:rsid w:val="007C5645"/>
    <w:rsid w:val="007C57FE"/>
    <w:rsid w:val="007C591C"/>
    <w:rsid w:val="007C6C41"/>
    <w:rsid w:val="007C73C2"/>
    <w:rsid w:val="007C7B64"/>
    <w:rsid w:val="007D003F"/>
    <w:rsid w:val="007D0E43"/>
    <w:rsid w:val="007D0E6D"/>
    <w:rsid w:val="007D3DAC"/>
    <w:rsid w:val="007D3E89"/>
    <w:rsid w:val="007D4236"/>
    <w:rsid w:val="007D48CE"/>
    <w:rsid w:val="007D5AEB"/>
    <w:rsid w:val="007D6E1D"/>
    <w:rsid w:val="007D7102"/>
    <w:rsid w:val="007D7CED"/>
    <w:rsid w:val="007E05B4"/>
    <w:rsid w:val="007E0EEF"/>
    <w:rsid w:val="007E1DCE"/>
    <w:rsid w:val="007E201D"/>
    <w:rsid w:val="007E3886"/>
    <w:rsid w:val="007E4654"/>
    <w:rsid w:val="007E53C1"/>
    <w:rsid w:val="007E571D"/>
    <w:rsid w:val="007E70AC"/>
    <w:rsid w:val="007E7965"/>
    <w:rsid w:val="007E7B1A"/>
    <w:rsid w:val="007E7B67"/>
    <w:rsid w:val="007F0B03"/>
    <w:rsid w:val="007F1133"/>
    <w:rsid w:val="007F22FD"/>
    <w:rsid w:val="007F2588"/>
    <w:rsid w:val="007F390C"/>
    <w:rsid w:val="007F44C7"/>
    <w:rsid w:val="007F59F8"/>
    <w:rsid w:val="007F625C"/>
    <w:rsid w:val="007F7774"/>
    <w:rsid w:val="008001B6"/>
    <w:rsid w:val="008003EB"/>
    <w:rsid w:val="008022A4"/>
    <w:rsid w:val="00802503"/>
    <w:rsid w:val="00803744"/>
    <w:rsid w:val="008038A8"/>
    <w:rsid w:val="008042EF"/>
    <w:rsid w:val="00804606"/>
    <w:rsid w:val="0080463E"/>
    <w:rsid w:val="008053FF"/>
    <w:rsid w:val="008059C2"/>
    <w:rsid w:val="00806560"/>
    <w:rsid w:val="00806852"/>
    <w:rsid w:val="00806E1E"/>
    <w:rsid w:val="008079E5"/>
    <w:rsid w:val="00812FCB"/>
    <w:rsid w:val="008135DF"/>
    <w:rsid w:val="00813B8F"/>
    <w:rsid w:val="008150F8"/>
    <w:rsid w:val="00815897"/>
    <w:rsid w:val="00815C05"/>
    <w:rsid w:val="008173CC"/>
    <w:rsid w:val="00817C82"/>
    <w:rsid w:val="008222FC"/>
    <w:rsid w:val="00824E0F"/>
    <w:rsid w:val="008257BC"/>
    <w:rsid w:val="008262CD"/>
    <w:rsid w:val="00826B12"/>
    <w:rsid w:val="00826B70"/>
    <w:rsid w:val="00826F43"/>
    <w:rsid w:val="00827BE0"/>
    <w:rsid w:val="00827FE1"/>
    <w:rsid w:val="00830177"/>
    <w:rsid w:val="00830378"/>
    <w:rsid w:val="008304F9"/>
    <w:rsid w:val="008307E2"/>
    <w:rsid w:val="008309A3"/>
    <w:rsid w:val="00830CEF"/>
    <w:rsid w:val="00831EC2"/>
    <w:rsid w:val="008324E7"/>
    <w:rsid w:val="008329A6"/>
    <w:rsid w:val="00832C3B"/>
    <w:rsid w:val="00832DE2"/>
    <w:rsid w:val="008332CE"/>
    <w:rsid w:val="008332FE"/>
    <w:rsid w:val="0083487A"/>
    <w:rsid w:val="0083578E"/>
    <w:rsid w:val="00835A2E"/>
    <w:rsid w:val="00835BF9"/>
    <w:rsid w:val="00835F93"/>
    <w:rsid w:val="0083788F"/>
    <w:rsid w:val="0084089F"/>
    <w:rsid w:val="00841BBF"/>
    <w:rsid w:val="00843600"/>
    <w:rsid w:val="00843701"/>
    <w:rsid w:val="00843B42"/>
    <w:rsid w:val="00843CFA"/>
    <w:rsid w:val="00844228"/>
    <w:rsid w:val="00844FAE"/>
    <w:rsid w:val="00847E07"/>
    <w:rsid w:val="00850017"/>
    <w:rsid w:val="008508D1"/>
    <w:rsid w:val="0085244F"/>
    <w:rsid w:val="00855265"/>
    <w:rsid w:val="008558B1"/>
    <w:rsid w:val="008560EB"/>
    <w:rsid w:val="00857609"/>
    <w:rsid w:val="008576E5"/>
    <w:rsid w:val="00857730"/>
    <w:rsid w:val="0085787D"/>
    <w:rsid w:val="008578D8"/>
    <w:rsid w:val="00857E46"/>
    <w:rsid w:val="008603F2"/>
    <w:rsid w:val="008613F0"/>
    <w:rsid w:val="008615D6"/>
    <w:rsid w:val="0086281D"/>
    <w:rsid w:val="008644EE"/>
    <w:rsid w:val="00864DD6"/>
    <w:rsid w:val="00864FE2"/>
    <w:rsid w:val="00865371"/>
    <w:rsid w:val="00866745"/>
    <w:rsid w:val="00867A0A"/>
    <w:rsid w:val="00867C25"/>
    <w:rsid w:val="00867DE5"/>
    <w:rsid w:val="00867F00"/>
    <w:rsid w:val="0087018C"/>
    <w:rsid w:val="008703E1"/>
    <w:rsid w:val="00870D3C"/>
    <w:rsid w:val="008721C8"/>
    <w:rsid w:val="0087268C"/>
    <w:rsid w:val="008732E1"/>
    <w:rsid w:val="0087349C"/>
    <w:rsid w:val="008748A4"/>
    <w:rsid w:val="00874E50"/>
    <w:rsid w:val="0087504E"/>
    <w:rsid w:val="008750C2"/>
    <w:rsid w:val="00875131"/>
    <w:rsid w:val="00875519"/>
    <w:rsid w:val="00875AFF"/>
    <w:rsid w:val="008768C1"/>
    <w:rsid w:val="00876E9E"/>
    <w:rsid w:val="00877132"/>
    <w:rsid w:val="00877365"/>
    <w:rsid w:val="008776A1"/>
    <w:rsid w:val="00880108"/>
    <w:rsid w:val="00880C11"/>
    <w:rsid w:val="0088162B"/>
    <w:rsid w:val="00881737"/>
    <w:rsid w:val="0088220A"/>
    <w:rsid w:val="00883071"/>
    <w:rsid w:val="00884064"/>
    <w:rsid w:val="00884238"/>
    <w:rsid w:val="00886084"/>
    <w:rsid w:val="00886E3A"/>
    <w:rsid w:val="00887AED"/>
    <w:rsid w:val="008907D5"/>
    <w:rsid w:val="00890A42"/>
    <w:rsid w:val="00890AEC"/>
    <w:rsid w:val="00890F38"/>
    <w:rsid w:val="008926DD"/>
    <w:rsid w:val="00893D72"/>
    <w:rsid w:val="00894ACD"/>
    <w:rsid w:val="00894BEA"/>
    <w:rsid w:val="00895B72"/>
    <w:rsid w:val="00896546"/>
    <w:rsid w:val="008978DC"/>
    <w:rsid w:val="0089793B"/>
    <w:rsid w:val="008A177A"/>
    <w:rsid w:val="008A263B"/>
    <w:rsid w:val="008A29C6"/>
    <w:rsid w:val="008A2D67"/>
    <w:rsid w:val="008A3DEE"/>
    <w:rsid w:val="008A46AA"/>
    <w:rsid w:val="008A4783"/>
    <w:rsid w:val="008A4D02"/>
    <w:rsid w:val="008A5D08"/>
    <w:rsid w:val="008A61BC"/>
    <w:rsid w:val="008A6A57"/>
    <w:rsid w:val="008B0602"/>
    <w:rsid w:val="008B06D2"/>
    <w:rsid w:val="008B2E58"/>
    <w:rsid w:val="008B393C"/>
    <w:rsid w:val="008B3DB3"/>
    <w:rsid w:val="008B5D0E"/>
    <w:rsid w:val="008B65A1"/>
    <w:rsid w:val="008B6E73"/>
    <w:rsid w:val="008B7A26"/>
    <w:rsid w:val="008C000A"/>
    <w:rsid w:val="008C06E2"/>
    <w:rsid w:val="008C0BD2"/>
    <w:rsid w:val="008C1286"/>
    <w:rsid w:val="008C132C"/>
    <w:rsid w:val="008C2112"/>
    <w:rsid w:val="008C2129"/>
    <w:rsid w:val="008C2424"/>
    <w:rsid w:val="008C376A"/>
    <w:rsid w:val="008C3BD0"/>
    <w:rsid w:val="008C5F02"/>
    <w:rsid w:val="008C7272"/>
    <w:rsid w:val="008D06FE"/>
    <w:rsid w:val="008D0F5C"/>
    <w:rsid w:val="008D1224"/>
    <w:rsid w:val="008D1FA4"/>
    <w:rsid w:val="008D202D"/>
    <w:rsid w:val="008D2754"/>
    <w:rsid w:val="008D3ACF"/>
    <w:rsid w:val="008D3B58"/>
    <w:rsid w:val="008D3C1C"/>
    <w:rsid w:val="008D4537"/>
    <w:rsid w:val="008D4A50"/>
    <w:rsid w:val="008D779F"/>
    <w:rsid w:val="008E017B"/>
    <w:rsid w:val="008E0558"/>
    <w:rsid w:val="008E1456"/>
    <w:rsid w:val="008E1565"/>
    <w:rsid w:val="008E1BE3"/>
    <w:rsid w:val="008E1C15"/>
    <w:rsid w:val="008E2159"/>
    <w:rsid w:val="008E233C"/>
    <w:rsid w:val="008E26F8"/>
    <w:rsid w:val="008E2899"/>
    <w:rsid w:val="008E29C1"/>
    <w:rsid w:val="008E29F4"/>
    <w:rsid w:val="008E34FA"/>
    <w:rsid w:val="008E35AB"/>
    <w:rsid w:val="008E3A41"/>
    <w:rsid w:val="008E3E1D"/>
    <w:rsid w:val="008E451E"/>
    <w:rsid w:val="008E500D"/>
    <w:rsid w:val="008E604F"/>
    <w:rsid w:val="008E658E"/>
    <w:rsid w:val="008E6A7B"/>
    <w:rsid w:val="008F05C5"/>
    <w:rsid w:val="008F2A7F"/>
    <w:rsid w:val="008F2FD3"/>
    <w:rsid w:val="008F652F"/>
    <w:rsid w:val="008F701B"/>
    <w:rsid w:val="008F7351"/>
    <w:rsid w:val="00900309"/>
    <w:rsid w:val="00900329"/>
    <w:rsid w:val="009015DD"/>
    <w:rsid w:val="00902A39"/>
    <w:rsid w:val="00902FB6"/>
    <w:rsid w:val="009037DC"/>
    <w:rsid w:val="00903FEE"/>
    <w:rsid w:val="009044F6"/>
    <w:rsid w:val="009047CD"/>
    <w:rsid w:val="00904CE3"/>
    <w:rsid w:val="00904D81"/>
    <w:rsid w:val="009050CA"/>
    <w:rsid w:val="00905F30"/>
    <w:rsid w:val="0090630F"/>
    <w:rsid w:val="0090657F"/>
    <w:rsid w:val="00907A3E"/>
    <w:rsid w:val="00907CEC"/>
    <w:rsid w:val="00907FBE"/>
    <w:rsid w:val="00910666"/>
    <w:rsid w:val="00911A16"/>
    <w:rsid w:val="00911CF9"/>
    <w:rsid w:val="00912E32"/>
    <w:rsid w:val="00912FC7"/>
    <w:rsid w:val="009131E3"/>
    <w:rsid w:val="00913796"/>
    <w:rsid w:val="00913DD8"/>
    <w:rsid w:val="00913E04"/>
    <w:rsid w:val="00914348"/>
    <w:rsid w:val="00914FAE"/>
    <w:rsid w:val="00915A74"/>
    <w:rsid w:val="00916A40"/>
    <w:rsid w:val="00917D11"/>
    <w:rsid w:val="0092038A"/>
    <w:rsid w:val="00920DBE"/>
    <w:rsid w:val="00920F65"/>
    <w:rsid w:val="009221ED"/>
    <w:rsid w:val="00922BBA"/>
    <w:rsid w:val="009239A0"/>
    <w:rsid w:val="00924BFB"/>
    <w:rsid w:val="00925138"/>
    <w:rsid w:val="00926D5C"/>
    <w:rsid w:val="00927465"/>
    <w:rsid w:val="00927DBA"/>
    <w:rsid w:val="00927F1C"/>
    <w:rsid w:val="00930A61"/>
    <w:rsid w:val="00931CD6"/>
    <w:rsid w:val="00932D19"/>
    <w:rsid w:val="009333BA"/>
    <w:rsid w:val="009335E9"/>
    <w:rsid w:val="009356BC"/>
    <w:rsid w:val="00935EC4"/>
    <w:rsid w:val="00936BB7"/>
    <w:rsid w:val="009376D9"/>
    <w:rsid w:val="0094005D"/>
    <w:rsid w:val="009403D6"/>
    <w:rsid w:val="00940F37"/>
    <w:rsid w:val="00943860"/>
    <w:rsid w:val="00947159"/>
    <w:rsid w:val="009477CD"/>
    <w:rsid w:val="00947A09"/>
    <w:rsid w:val="00950575"/>
    <w:rsid w:val="009511DD"/>
    <w:rsid w:val="009524CA"/>
    <w:rsid w:val="00952A85"/>
    <w:rsid w:val="00952A93"/>
    <w:rsid w:val="00952D66"/>
    <w:rsid w:val="00952DF8"/>
    <w:rsid w:val="00953FDC"/>
    <w:rsid w:val="00954675"/>
    <w:rsid w:val="00954C23"/>
    <w:rsid w:val="00954C72"/>
    <w:rsid w:val="009557A2"/>
    <w:rsid w:val="009565A3"/>
    <w:rsid w:val="009566AD"/>
    <w:rsid w:val="009567F7"/>
    <w:rsid w:val="00956B12"/>
    <w:rsid w:val="0095795C"/>
    <w:rsid w:val="00957AF1"/>
    <w:rsid w:val="0096184C"/>
    <w:rsid w:val="00961E22"/>
    <w:rsid w:val="009626C7"/>
    <w:rsid w:val="00962A97"/>
    <w:rsid w:val="009640EF"/>
    <w:rsid w:val="00964D7E"/>
    <w:rsid w:val="00965FF7"/>
    <w:rsid w:val="0096744B"/>
    <w:rsid w:val="00967AED"/>
    <w:rsid w:val="00970F67"/>
    <w:rsid w:val="00971201"/>
    <w:rsid w:val="00971205"/>
    <w:rsid w:val="009723B2"/>
    <w:rsid w:val="009739C9"/>
    <w:rsid w:val="009743DA"/>
    <w:rsid w:val="009743F7"/>
    <w:rsid w:val="00974C5A"/>
    <w:rsid w:val="00974FD6"/>
    <w:rsid w:val="009751C6"/>
    <w:rsid w:val="00975D1A"/>
    <w:rsid w:val="00976028"/>
    <w:rsid w:val="00977329"/>
    <w:rsid w:val="00977DCF"/>
    <w:rsid w:val="009817F4"/>
    <w:rsid w:val="0098313A"/>
    <w:rsid w:val="00983EDC"/>
    <w:rsid w:val="00984191"/>
    <w:rsid w:val="009851AC"/>
    <w:rsid w:val="00985722"/>
    <w:rsid w:val="00985C99"/>
    <w:rsid w:val="00985EB0"/>
    <w:rsid w:val="00987857"/>
    <w:rsid w:val="00990A02"/>
    <w:rsid w:val="00991CD0"/>
    <w:rsid w:val="00992043"/>
    <w:rsid w:val="009924EC"/>
    <w:rsid w:val="00992961"/>
    <w:rsid w:val="00992984"/>
    <w:rsid w:val="009934FC"/>
    <w:rsid w:val="00993EED"/>
    <w:rsid w:val="00994200"/>
    <w:rsid w:val="00994426"/>
    <w:rsid w:val="0099583C"/>
    <w:rsid w:val="009A0C06"/>
    <w:rsid w:val="009A1D2F"/>
    <w:rsid w:val="009A2031"/>
    <w:rsid w:val="009A2358"/>
    <w:rsid w:val="009A3AC7"/>
    <w:rsid w:val="009A484E"/>
    <w:rsid w:val="009A49A6"/>
    <w:rsid w:val="009A53CA"/>
    <w:rsid w:val="009A60D2"/>
    <w:rsid w:val="009A6CE5"/>
    <w:rsid w:val="009A6FD7"/>
    <w:rsid w:val="009A73FF"/>
    <w:rsid w:val="009A7B3D"/>
    <w:rsid w:val="009A7D49"/>
    <w:rsid w:val="009B0E71"/>
    <w:rsid w:val="009B1344"/>
    <w:rsid w:val="009B14AF"/>
    <w:rsid w:val="009B16A8"/>
    <w:rsid w:val="009B1D02"/>
    <w:rsid w:val="009B1E2F"/>
    <w:rsid w:val="009B2656"/>
    <w:rsid w:val="009B277A"/>
    <w:rsid w:val="009B30FC"/>
    <w:rsid w:val="009B3B9F"/>
    <w:rsid w:val="009B4FD5"/>
    <w:rsid w:val="009B62BF"/>
    <w:rsid w:val="009B7492"/>
    <w:rsid w:val="009B7A7C"/>
    <w:rsid w:val="009C0E4C"/>
    <w:rsid w:val="009C0F39"/>
    <w:rsid w:val="009C0FCE"/>
    <w:rsid w:val="009C2416"/>
    <w:rsid w:val="009C3543"/>
    <w:rsid w:val="009C3AA2"/>
    <w:rsid w:val="009C531A"/>
    <w:rsid w:val="009C5362"/>
    <w:rsid w:val="009C57D3"/>
    <w:rsid w:val="009C5CA3"/>
    <w:rsid w:val="009C60AB"/>
    <w:rsid w:val="009C7069"/>
    <w:rsid w:val="009C7A5E"/>
    <w:rsid w:val="009C7BE7"/>
    <w:rsid w:val="009D0885"/>
    <w:rsid w:val="009D145E"/>
    <w:rsid w:val="009D1D18"/>
    <w:rsid w:val="009D20D4"/>
    <w:rsid w:val="009D248E"/>
    <w:rsid w:val="009D31F5"/>
    <w:rsid w:val="009D34F7"/>
    <w:rsid w:val="009D3DAD"/>
    <w:rsid w:val="009D4C15"/>
    <w:rsid w:val="009D5C3F"/>
    <w:rsid w:val="009D615E"/>
    <w:rsid w:val="009D6E1E"/>
    <w:rsid w:val="009E00AE"/>
    <w:rsid w:val="009E0450"/>
    <w:rsid w:val="009E0950"/>
    <w:rsid w:val="009E0F11"/>
    <w:rsid w:val="009E0FBC"/>
    <w:rsid w:val="009E1924"/>
    <w:rsid w:val="009E2316"/>
    <w:rsid w:val="009E3D9B"/>
    <w:rsid w:val="009E4F44"/>
    <w:rsid w:val="009E59C2"/>
    <w:rsid w:val="009E6D48"/>
    <w:rsid w:val="009E6EC2"/>
    <w:rsid w:val="009E7F19"/>
    <w:rsid w:val="009E7FCB"/>
    <w:rsid w:val="009F0EE6"/>
    <w:rsid w:val="009F0EF4"/>
    <w:rsid w:val="009F0F34"/>
    <w:rsid w:val="009F2182"/>
    <w:rsid w:val="009F21F4"/>
    <w:rsid w:val="009F31AA"/>
    <w:rsid w:val="009F356A"/>
    <w:rsid w:val="009F366D"/>
    <w:rsid w:val="009F454B"/>
    <w:rsid w:val="009F4922"/>
    <w:rsid w:val="009F4C1C"/>
    <w:rsid w:val="009F5956"/>
    <w:rsid w:val="009F5B51"/>
    <w:rsid w:val="009F6248"/>
    <w:rsid w:val="009F7BC7"/>
    <w:rsid w:val="00A01526"/>
    <w:rsid w:val="00A02434"/>
    <w:rsid w:val="00A02996"/>
    <w:rsid w:val="00A03284"/>
    <w:rsid w:val="00A04102"/>
    <w:rsid w:val="00A0723D"/>
    <w:rsid w:val="00A074A3"/>
    <w:rsid w:val="00A0770F"/>
    <w:rsid w:val="00A07F07"/>
    <w:rsid w:val="00A1118C"/>
    <w:rsid w:val="00A12856"/>
    <w:rsid w:val="00A12A3E"/>
    <w:rsid w:val="00A142E9"/>
    <w:rsid w:val="00A1442F"/>
    <w:rsid w:val="00A14A13"/>
    <w:rsid w:val="00A14EA2"/>
    <w:rsid w:val="00A158A5"/>
    <w:rsid w:val="00A15D48"/>
    <w:rsid w:val="00A160F0"/>
    <w:rsid w:val="00A1631E"/>
    <w:rsid w:val="00A16DCC"/>
    <w:rsid w:val="00A1707D"/>
    <w:rsid w:val="00A1734C"/>
    <w:rsid w:val="00A17489"/>
    <w:rsid w:val="00A176E6"/>
    <w:rsid w:val="00A17857"/>
    <w:rsid w:val="00A17B80"/>
    <w:rsid w:val="00A208A6"/>
    <w:rsid w:val="00A208DC"/>
    <w:rsid w:val="00A218AC"/>
    <w:rsid w:val="00A221C5"/>
    <w:rsid w:val="00A22AB3"/>
    <w:rsid w:val="00A22C7E"/>
    <w:rsid w:val="00A2324F"/>
    <w:rsid w:val="00A24F30"/>
    <w:rsid w:val="00A26A27"/>
    <w:rsid w:val="00A26CA6"/>
    <w:rsid w:val="00A2789D"/>
    <w:rsid w:val="00A27B24"/>
    <w:rsid w:val="00A27BD1"/>
    <w:rsid w:val="00A3120E"/>
    <w:rsid w:val="00A317D9"/>
    <w:rsid w:val="00A3212E"/>
    <w:rsid w:val="00A323AC"/>
    <w:rsid w:val="00A32430"/>
    <w:rsid w:val="00A326F0"/>
    <w:rsid w:val="00A33AC0"/>
    <w:rsid w:val="00A33BE2"/>
    <w:rsid w:val="00A33E49"/>
    <w:rsid w:val="00A33FAF"/>
    <w:rsid w:val="00A3403F"/>
    <w:rsid w:val="00A34FA9"/>
    <w:rsid w:val="00A353E0"/>
    <w:rsid w:val="00A35EA3"/>
    <w:rsid w:val="00A36E46"/>
    <w:rsid w:val="00A40087"/>
    <w:rsid w:val="00A401F4"/>
    <w:rsid w:val="00A41646"/>
    <w:rsid w:val="00A42A4D"/>
    <w:rsid w:val="00A43C3D"/>
    <w:rsid w:val="00A440C2"/>
    <w:rsid w:val="00A45265"/>
    <w:rsid w:val="00A46D59"/>
    <w:rsid w:val="00A4737E"/>
    <w:rsid w:val="00A47790"/>
    <w:rsid w:val="00A47AF1"/>
    <w:rsid w:val="00A47C54"/>
    <w:rsid w:val="00A50436"/>
    <w:rsid w:val="00A50AD9"/>
    <w:rsid w:val="00A51544"/>
    <w:rsid w:val="00A51B10"/>
    <w:rsid w:val="00A51FBC"/>
    <w:rsid w:val="00A525CD"/>
    <w:rsid w:val="00A52685"/>
    <w:rsid w:val="00A52F94"/>
    <w:rsid w:val="00A53F06"/>
    <w:rsid w:val="00A557C5"/>
    <w:rsid w:val="00A55D94"/>
    <w:rsid w:val="00A606AE"/>
    <w:rsid w:val="00A607D0"/>
    <w:rsid w:val="00A60BEE"/>
    <w:rsid w:val="00A60FE5"/>
    <w:rsid w:val="00A62272"/>
    <w:rsid w:val="00A62356"/>
    <w:rsid w:val="00A626B0"/>
    <w:rsid w:val="00A628F3"/>
    <w:rsid w:val="00A63615"/>
    <w:rsid w:val="00A63B3A"/>
    <w:rsid w:val="00A63DBE"/>
    <w:rsid w:val="00A643AB"/>
    <w:rsid w:val="00A64AF2"/>
    <w:rsid w:val="00A64E05"/>
    <w:rsid w:val="00A652BE"/>
    <w:rsid w:val="00A658ED"/>
    <w:rsid w:val="00A65E27"/>
    <w:rsid w:val="00A65E96"/>
    <w:rsid w:val="00A66F40"/>
    <w:rsid w:val="00A67DD4"/>
    <w:rsid w:val="00A700C9"/>
    <w:rsid w:val="00A70A43"/>
    <w:rsid w:val="00A70A97"/>
    <w:rsid w:val="00A71962"/>
    <w:rsid w:val="00A72316"/>
    <w:rsid w:val="00A72328"/>
    <w:rsid w:val="00A7304F"/>
    <w:rsid w:val="00A73214"/>
    <w:rsid w:val="00A73E60"/>
    <w:rsid w:val="00A740D5"/>
    <w:rsid w:val="00A747B2"/>
    <w:rsid w:val="00A74F96"/>
    <w:rsid w:val="00A756CB"/>
    <w:rsid w:val="00A75C4C"/>
    <w:rsid w:val="00A75E63"/>
    <w:rsid w:val="00A76090"/>
    <w:rsid w:val="00A76333"/>
    <w:rsid w:val="00A763BA"/>
    <w:rsid w:val="00A76FFE"/>
    <w:rsid w:val="00A800F0"/>
    <w:rsid w:val="00A8077A"/>
    <w:rsid w:val="00A8089D"/>
    <w:rsid w:val="00A81BF0"/>
    <w:rsid w:val="00A81D67"/>
    <w:rsid w:val="00A820F4"/>
    <w:rsid w:val="00A82CE9"/>
    <w:rsid w:val="00A83F26"/>
    <w:rsid w:val="00A8437D"/>
    <w:rsid w:val="00A84400"/>
    <w:rsid w:val="00A84C57"/>
    <w:rsid w:val="00A84CAD"/>
    <w:rsid w:val="00A855D5"/>
    <w:rsid w:val="00A85B0F"/>
    <w:rsid w:val="00A86786"/>
    <w:rsid w:val="00A86E38"/>
    <w:rsid w:val="00A86ED6"/>
    <w:rsid w:val="00A870C2"/>
    <w:rsid w:val="00A87596"/>
    <w:rsid w:val="00A879EC"/>
    <w:rsid w:val="00A9018D"/>
    <w:rsid w:val="00A916ED"/>
    <w:rsid w:val="00A925DB"/>
    <w:rsid w:val="00A9293C"/>
    <w:rsid w:val="00A934CD"/>
    <w:rsid w:val="00A93D18"/>
    <w:rsid w:val="00A93F71"/>
    <w:rsid w:val="00A95210"/>
    <w:rsid w:val="00A95534"/>
    <w:rsid w:val="00A96E5E"/>
    <w:rsid w:val="00A97791"/>
    <w:rsid w:val="00A977E6"/>
    <w:rsid w:val="00A97A09"/>
    <w:rsid w:val="00AA2331"/>
    <w:rsid w:val="00AA23DF"/>
    <w:rsid w:val="00AA2587"/>
    <w:rsid w:val="00AA35F5"/>
    <w:rsid w:val="00AA3E5B"/>
    <w:rsid w:val="00AA40C8"/>
    <w:rsid w:val="00AA413B"/>
    <w:rsid w:val="00AA4BC9"/>
    <w:rsid w:val="00AA4CBD"/>
    <w:rsid w:val="00AA53A5"/>
    <w:rsid w:val="00AA5D35"/>
    <w:rsid w:val="00AA60E0"/>
    <w:rsid w:val="00AA62CB"/>
    <w:rsid w:val="00AA6E2F"/>
    <w:rsid w:val="00AA7A8C"/>
    <w:rsid w:val="00AB0CB4"/>
    <w:rsid w:val="00AB165F"/>
    <w:rsid w:val="00AB16DE"/>
    <w:rsid w:val="00AB1E44"/>
    <w:rsid w:val="00AB352A"/>
    <w:rsid w:val="00AB3C44"/>
    <w:rsid w:val="00AB491D"/>
    <w:rsid w:val="00AB4BF0"/>
    <w:rsid w:val="00AB56F0"/>
    <w:rsid w:val="00AB5834"/>
    <w:rsid w:val="00AB61D8"/>
    <w:rsid w:val="00AB734E"/>
    <w:rsid w:val="00AB76C6"/>
    <w:rsid w:val="00AC05EB"/>
    <w:rsid w:val="00AC0C27"/>
    <w:rsid w:val="00AC2BFD"/>
    <w:rsid w:val="00AC30BB"/>
    <w:rsid w:val="00AC3F26"/>
    <w:rsid w:val="00AC4889"/>
    <w:rsid w:val="00AC4C4C"/>
    <w:rsid w:val="00AC5076"/>
    <w:rsid w:val="00AC563A"/>
    <w:rsid w:val="00AC66A6"/>
    <w:rsid w:val="00AC6EFB"/>
    <w:rsid w:val="00AC73B2"/>
    <w:rsid w:val="00AC76C1"/>
    <w:rsid w:val="00AC7BB0"/>
    <w:rsid w:val="00AC7D56"/>
    <w:rsid w:val="00AD0172"/>
    <w:rsid w:val="00AD08FD"/>
    <w:rsid w:val="00AD1558"/>
    <w:rsid w:val="00AD1C4B"/>
    <w:rsid w:val="00AD3645"/>
    <w:rsid w:val="00AD4CAA"/>
    <w:rsid w:val="00AD667F"/>
    <w:rsid w:val="00AD6B40"/>
    <w:rsid w:val="00AD7084"/>
    <w:rsid w:val="00AD72CB"/>
    <w:rsid w:val="00AE06AD"/>
    <w:rsid w:val="00AE08F6"/>
    <w:rsid w:val="00AE0C64"/>
    <w:rsid w:val="00AE25D6"/>
    <w:rsid w:val="00AE2EE2"/>
    <w:rsid w:val="00AE33ED"/>
    <w:rsid w:val="00AE482C"/>
    <w:rsid w:val="00AE4B03"/>
    <w:rsid w:val="00AE500E"/>
    <w:rsid w:val="00AE596B"/>
    <w:rsid w:val="00AE6380"/>
    <w:rsid w:val="00AE6DC6"/>
    <w:rsid w:val="00AE7AA6"/>
    <w:rsid w:val="00AF1BAB"/>
    <w:rsid w:val="00AF1F71"/>
    <w:rsid w:val="00AF208E"/>
    <w:rsid w:val="00AF24DE"/>
    <w:rsid w:val="00AF297C"/>
    <w:rsid w:val="00AF3DD8"/>
    <w:rsid w:val="00AF3DD9"/>
    <w:rsid w:val="00AF47A8"/>
    <w:rsid w:val="00AF783E"/>
    <w:rsid w:val="00AF7A1E"/>
    <w:rsid w:val="00B000E2"/>
    <w:rsid w:val="00B00FDB"/>
    <w:rsid w:val="00B00FEF"/>
    <w:rsid w:val="00B01AB8"/>
    <w:rsid w:val="00B01CE8"/>
    <w:rsid w:val="00B01E96"/>
    <w:rsid w:val="00B036D0"/>
    <w:rsid w:val="00B0405B"/>
    <w:rsid w:val="00B04A24"/>
    <w:rsid w:val="00B04CA3"/>
    <w:rsid w:val="00B04EBA"/>
    <w:rsid w:val="00B07C1B"/>
    <w:rsid w:val="00B07DA4"/>
    <w:rsid w:val="00B103EC"/>
    <w:rsid w:val="00B11010"/>
    <w:rsid w:val="00B120F2"/>
    <w:rsid w:val="00B121F1"/>
    <w:rsid w:val="00B123CB"/>
    <w:rsid w:val="00B1258A"/>
    <w:rsid w:val="00B1281F"/>
    <w:rsid w:val="00B12D0F"/>
    <w:rsid w:val="00B1417F"/>
    <w:rsid w:val="00B143A0"/>
    <w:rsid w:val="00B14E1B"/>
    <w:rsid w:val="00B15976"/>
    <w:rsid w:val="00B16808"/>
    <w:rsid w:val="00B179F8"/>
    <w:rsid w:val="00B2187B"/>
    <w:rsid w:val="00B2296C"/>
    <w:rsid w:val="00B22C7F"/>
    <w:rsid w:val="00B22EA2"/>
    <w:rsid w:val="00B2310C"/>
    <w:rsid w:val="00B23B97"/>
    <w:rsid w:val="00B24205"/>
    <w:rsid w:val="00B24576"/>
    <w:rsid w:val="00B26985"/>
    <w:rsid w:val="00B26F38"/>
    <w:rsid w:val="00B30CDB"/>
    <w:rsid w:val="00B33866"/>
    <w:rsid w:val="00B3399A"/>
    <w:rsid w:val="00B33A2A"/>
    <w:rsid w:val="00B3489F"/>
    <w:rsid w:val="00B34FCC"/>
    <w:rsid w:val="00B35581"/>
    <w:rsid w:val="00B35925"/>
    <w:rsid w:val="00B36B06"/>
    <w:rsid w:val="00B372E0"/>
    <w:rsid w:val="00B3747B"/>
    <w:rsid w:val="00B377A4"/>
    <w:rsid w:val="00B4044A"/>
    <w:rsid w:val="00B40ABB"/>
    <w:rsid w:val="00B42FB5"/>
    <w:rsid w:val="00B4420D"/>
    <w:rsid w:val="00B44B1A"/>
    <w:rsid w:val="00B44F82"/>
    <w:rsid w:val="00B4508B"/>
    <w:rsid w:val="00B45DCA"/>
    <w:rsid w:val="00B46A04"/>
    <w:rsid w:val="00B50468"/>
    <w:rsid w:val="00B52443"/>
    <w:rsid w:val="00B52445"/>
    <w:rsid w:val="00B53296"/>
    <w:rsid w:val="00B533BA"/>
    <w:rsid w:val="00B53556"/>
    <w:rsid w:val="00B53691"/>
    <w:rsid w:val="00B53D78"/>
    <w:rsid w:val="00B54698"/>
    <w:rsid w:val="00B54929"/>
    <w:rsid w:val="00B54AA3"/>
    <w:rsid w:val="00B5565D"/>
    <w:rsid w:val="00B55CBE"/>
    <w:rsid w:val="00B55E8B"/>
    <w:rsid w:val="00B561A6"/>
    <w:rsid w:val="00B56FF3"/>
    <w:rsid w:val="00B57005"/>
    <w:rsid w:val="00B57744"/>
    <w:rsid w:val="00B60C9F"/>
    <w:rsid w:val="00B615A2"/>
    <w:rsid w:val="00B62B47"/>
    <w:rsid w:val="00B63709"/>
    <w:rsid w:val="00B64184"/>
    <w:rsid w:val="00B65448"/>
    <w:rsid w:val="00B66854"/>
    <w:rsid w:val="00B67187"/>
    <w:rsid w:val="00B67340"/>
    <w:rsid w:val="00B709D9"/>
    <w:rsid w:val="00B71500"/>
    <w:rsid w:val="00B723BB"/>
    <w:rsid w:val="00B72414"/>
    <w:rsid w:val="00B73955"/>
    <w:rsid w:val="00B742AE"/>
    <w:rsid w:val="00B7445F"/>
    <w:rsid w:val="00B7483F"/>
    <w:rsid w:val="00B76013"/>
    <w:rsid w:val="00B76BA6"/>
    <w:rsid w:val="00B76CA2"/>
    <w:rsid w:val="00B76D0A"/>
    <w:rsid w:val="00B77B11"/>
    <w:rsid w:val="00B77B8D"/>
    <w:rsid w:val="00B8033B"/>
    <w:rsid w:val="00B8065A"/>
    <w:rsid w:val="00B80681"/>
    <w:rsid w:val="00B8180A"/>
    <w:rsid w:val="00B8186C"/>
    <w:rsid w:val="00B81E0A"/>
    <w:rsid w:val="00B826D1"/>
    <w:rsid w:val="00B83E8A"/>
    <w:rsid w:val="00B83FA0"/>
    <w:rsid w:val="00B851F3"/>
    <w:rsid w:val="00B855CB"/>
    <w:rsid w:val="00B85A8A"/>
    <w:rsid w:val="00B86CE8"/>
    <w:rsid w:val="00B86E6F"/>
    <w:rsid w:val="00B87A90"/>
    <w:rsid w:val="00B87D18"/>
    <w:rsid w:val="00B9048D"/>
    <w:rsid w:val="00B913B6"/>
    <w:rsid w:val="00B9191F"/>
    <w:rsid w:val="00B92DDB"/>
    <w:rsid w:val="00B92F5D"/>
    <w:rsid w:val="00B92FF5"/>
    <w:rsid w:val="00B933AC"/>
    <w:rsid w:val="00B94854"/>
    <w:rsid w:val="00B954B3"/>
    <w:rsid w:val="00B955CC"/>
    <w:rsid w:val="00B961E8"/>
    <w:rsid w:val="00B97930"/>
    <w:rsid w:val="00B97CD9"/>
    <w:rsid w:val="00BA0724"/>
    <w:rsid w:val="00BA0734"/>
    <w:rsid w:val="00BA12ED"/>
    <w:rsid w:val="00BA39E2"/>
    <w:rsid w:val="00BA3AB1"/>
    <w:rsid w:val="00BA3BAC"/>
    <w:rsid w:val="00BA5CDA"/>
    <w:rsid w:val="00BA67A1"/>
    <w:rsid w:val="00BA6CE0"/>
    <w:rsid w:val="00BA7A46"/>
    <w:rsid w:val="00BA7DD0"/>
    <w:rsid w:val="00BB0215"/>
    <w:rsid w:val="00BB2985"/>
    <w:rsid w:val="00BB3A97"/>
    <w:rsid w:val="00BB3B08"/>
    <w:rsid w:val="00BB3D44"/>
    <w:rsid w:val="00BB4519"/>
    <w:rsid w:val="00BB48A5"/>
    <w:rsid w:val="00BB5271"/>
    <w:rsid w:val="00BB5642"/>
    <w:rsid w:val="00BB5F87"/>
    <w:rsid w:val="00BB6181"/>
    <w:rsid w:val="00BC045C"/>
    <w:rsid w:val="00BC135B"/>
    <w:rsid w:val="00BC1B10"/>
    <w:rsid w:val="00BC1CDF"/>
    <w:rsid w:val="00BC20CF"/>
    <w:rsid w:val="00BC3358"/>
    <w:rsid w:val="00BC36AB"/>
    <w:rsid w:val="00BC3BF5"/>
    <w:rsid w:val="00BC3EE9"/>
    <w:rsid w:val="00BC4A19"/>
    <w:rsid w:val="00BC4CAE"/>
    <w:rsid w:val="00BC4F45"/>
    <w:rsid w:val="00BC50BA"/>
    <w:rsid w:val="00BC5413"/>
    <w:rsid w:val="00BC58DB"/>
    <w:rsid w:val="00BC5F8F"/>
    <w:rsid w:val="00BC6C2B"/>
    <w:rsid w:val="00BD03D2"/>
    <w:rsid w:val="00BD0623"/>
    <w:rsid w:val="00BD0CEA"/>
    <w:rsid w:val="00BD1392"/>
    <w:rsid w:val="00BD1BA4"/>
    <w:rsid w:val="00BD2266"/>
    <w:rsid w:val="00BD2365"/>
    <w:rsid w:val="00BD3486"/>
    <w:rsid w:val="00BD46E1"/>
    <w:rsid w:val="00BD4A5E"/>
    <w:rsid w:val="00BD5D64"/>
    <w:rsid w:val="00BD5F72"/>
    <w:rsid w:val="00BD7F10"/>
    <w:rsid w:val="00BE00AA"/>
    <w:rsid w:val="00BE03F2"/>
    <w:rsid w:val="00BE06F6"/>
    <w:rsid w:val="00BE156C"/>
    <w:rsid w:val="00BE1B64"/>
    <w:rsid w:val="00BE1D2C"/>
    <w:rsid w:val="00BE29BE"/>
    <w:rsid w:val="00BE3AA1"/>
    <w:rsid w:val="00BE5E63"/>
    <w:rsid w:val="00BE6613"/>
    <w:rsid w:val="00BE669B"/>
    <w:rsid w:val="00BF17C7"/>
    <w:rsid w:val="00BF464C"/>
    <w:rsid w:val="00BF4DAA"/>
    <w:rsid w:val="00BF64D6"/>
    <w:rsid w:val="00BF6DE7"/>
    <w:rsid w:val="00BF7394"/>
    <w:rsid w:val="00BF772D"/>
    <w:rsid w:val="00C00CEC"/>
    <w:rsid w:val="00C013E9"/>
    <w:rsid w:val="00C02C57"/>
    <w:rsid w:val="00C03608"/>
    <w:rsid w:val="00C0376C"/>
    <w:rsid w:val="00C0394B"/>
    <w:rsid w:val="00C04F80"/>
    <w:rsid w:val="00C065F6"/>
    <w:rsid w:val="00C07CC2"/>
    <w:rsid w:val="00C10231"/>
    <w:rsid w:val="00C10D15"/>
    <w:rsid w:val="00C10F48"/>
    <w:rsid w:val="00C12113"/>
    <w:rsid w:val="00C1243B"/>
    <w:rsid w:val="00C12CAA"/>
    <w:rsid w:val="00C12E6E"/>
    <w:rsid w:val="00C12F0E"/>
    <w:rsid w:val="00C14340"/>
    <w:rsid w:val="00C145ED"/>
    <w:rsid w:val="00C14735"/>
    <w:rsid w:val="00C159A7"/>
    <w:rsid w:val="00C16CB8"/>
    <w:rsid w:val="00C16E14"/>
    <w:rsid w:val="00C174A6"/>
    <w:rsid w:val="00C17845"/>
    <w:rsid w:val="00C178C7"/>
    <w:rsid w:val="00C21855"/>
    <w:rsid w:val="00C22097"/>
    <w:rsid w:val="00C2312D"/>
    <w:rsid w:val="00C23AF5"/>
    <w:rsid w:val="00C23B7A"/>
    <w:rsid w:val="00C23FD7"/>
    <w:rsid w:val="00C246D5"/>
    <w:rsid w:val="00C24BB8"/>
    <w:rsid w:val="00C24C3A"/>
    <w:rsid w:val="00C250CB"/>
    <w:rsid w:val="00C251CA"/>
    <w:rsid w:val="00C260E2"/>
    <w:rsid w:val="00C305FD"/>
    <w:rsid w:val="00C30841"/>
    <w:rsid w:val="00C30D28"/>
    <w:rsid w:val="00C31A78"/>
    <w:rsid w:val="00C323CB"/>
    <w:rsid w:val="00C32930"/>
    <w:rsid w:val="00C33632"/>
    <w:rsid w:val="00C33A3F"/>
    <w:rsid w:val="00C34B12"/>
    <w:rsid w:val="00C351F6"/>
    <w:rsid w:val="00C36273"/>
    <w:rsid w:val="00C36B59"/>
    <w:rsid w:val="00C36CE2"/>
    <w:rsid w:val="00C375F0"/>
    <w:rsid w:val="00C40B59"/>
    <w:rsid w:val="00C41163"/>
    <w:rsid w:val="00C413E5"/>
    <w:rsid w:val="00C4246B"/>
    <w:rsid w:val="00C42819"/>
    <w:rsid w:val="00C43C2B"/>
    <w:rsid w:val="00C451F3"/>
    <w:rsid w:val="00C45E39"/>
    <w:rsid w:val="00C46C45"/>
    <w:rsid w:val="00C46E4D"/>
    <w:rsid w:val="00C476D5"/>
    <w:rsid w:val="00C47F28"/>
    <w:rsid w:val="00C50F15"/>
    <w:rsid w:val="00C510E6"/>
    <w:rsid w:val="00C514A3"/>
    <w:rsid w:val="00C5215A"/>
    <w:rsid w:val="00C52260"/>
    <w:rsid w:val="00C535D6"/>
    <w:rsid w:val="00C53A3B"/>
    <w:rsid w:val="00C54B2B"/>
    <w:rsid w:val="00C55901"/>
    <w:rsid w:val="00C55B18"/>
    <w:rsid w:val="00C55D71"/>
    <w:rsid w:val="00C566D8"/>
    <w:rsid w:val="00C57408"/>
    <w:rsid w:val="00C57675"/>
    <w:rsid w:val="00C6073F"/>
    <w:rsid w:val="00C614D2"/>
    <w:rsid w:val="00C6316E"/>
    <w:rsid w:val="00C64A93"/>
    <w:rsid w:val="00C65603"/>
    <w:rsid w:val="00C65814"/>
    <w:rsid w:val="00C674C7"/>
    <w:rsid w:val="00C67CE9"/>
    <w:rsid w:val="00C7067C"/>
    <w:rsid w:val="00C70B78"/>
    <w:rsid w:val="00C70B8B"/>
    <w:rsid w:val="00C71DED"/>
    <w:rsid w:val="00C726D5"/>
    <w:rsid w:val="00C730A9"/>
    <w:rsid w:val="00C737D1"/>
    <w:rsid w:val="00C74292"/>
    <w:rsid w:val="00C7438C"/>
    <w:rsid w:val="00C75508"/>
    <w:rsid w:val="00C7553B"/>
    <w:rsid w:val="00C769D0"/>
    <w:rsid w:val="00C76AD6"/>
    <w:rsid w:val="00C801D3"/>
    <w:rsid w:val="00C802E6"/>
    <w:rsid w:val="00C821A7"/>
    <w:rsid w:val="00C83ACF"/>
    <w:rsid w:val="00C83DEC"/>
    <w:rsid w:val="00C842C9"/>
    <w:rsid w:val="00C84757"/>
    <w:rsid w:val="00C84928"/>
    <w:rsid w:val="00C84A0B"/>
    <w:rsid w:val="00C85566"/>
    <w:rsid w:val="00C856CD"/>
    <w:rsid w:val="00C8616E"/>
    <w:rsid w:val="00C8706C"/>
    <w:rsid w:val="00C907BA"/>
    <w:rsid w:val="00C91060"/>
    <w:rsid w:val="00C93017"/>
    <w:rsid w:val="00C93252"/>
    <w:rsid w:val="00C94C2E"/>
    <w:rsid w:val="00C961E3"/>
    <w:rsid w:val="00C97DB3"/>
    <w:rsid w:val="00CA0DC3"/>
    <w:rsid w:val="00CA1443"/>
    <w:rsid w:val="00CA21B2"/>
    <w:rsid w:val="00CA2484"/>
    <w:rsid w:val="00CA2DD4"/>
    <w:rsid w:val="00CA32E4"/>
    <w:rsid w:val="00CA334F"/>
    <w:rsid w:val="00CA3841"/>
    <w:rsid w:val="00CA385F"/>
    <w:rsid w:val="00CA4466"/>
    <w:rsid w:val="00CA5C0B"/>
    <w:rsid w:val="00CA63BA"/>
    <w:rsid w:val="00CA7562"/>
    <w:rsid w:val="00CB0F5C"/>
    <w:rsid w:val="00CB13F9"/>
    <w:rsid w:val="00CB15CC"/>
    <w:rsid w:val="00CB1F5A"/>
    <w:rsid w:val="00CB2410"/>
    <w:rsid w:val="00CB2955"/>
    <w:rsid w:val="00CB43FB"/>
    <w:rsid w:val="00CB5394"/>
    <w:rsid w:val="00CB569A"/>
    <w:rsid w:val="00CB69D2"/>
    <w:rsid w:val="00CB6E14"/>
    <w:rsid w:val="00CC01B7"/>
    <w:rsid w:val="00CC1110"/>
    <w:rsid w:val="00CC208F"/>
    <w:rsid w:val="00CC20A9"/>
    <w:rsid w:val="00CC214E"/>
    <w:rsid w:val="00CC2C37"/>
    <w:rsid w:val="00CC43A4"/>
    <w:rsid w:val="00CC48BC"/>
    <w:rsid w:val="00CC6B29"/>
    <w:rsid w:val="00CC6C14"/>
    <w:rsid w:val="00CC7444"/>
    <w:rsid w:val="00CC798B"/>
    <w:rsid w:val="00CC7A77"/>
    <w:rsid w:val="00CD110C"/>
    <w:rsid w:val="00CD304D"/>
    <w:rsid w:val="00CD34E4"/>
    <w:rsid w:val="00CD35A7"/>
    <w:rsid w:val="00CD3A34"/>
    <w:rsid w:val="00CD4560"/>
    <w:rsid w:val="00CD49DD"/>
    <w:rsid w:val="00CD51A6"/>
    <w:rsid w:val="00CD601F"/>
    <w:rsid w:val="00CD63F3"/>
    <w:rsid w:val="00CD6B75"/>
    <w:rsid w:val="00CD6BE3"/>
    <w:rsid w:val="00CD7BDF"/>
    <w:rsid w:val="00CD7FBE"/>
    <w:rsid w:val="00CE1A7E"/>
    <w:rsid w:val="00CE27C3"/>
    <w:rsid w:val="00CE2E2F"/>
    <w:rsid w:val="00CE3176"/>
    <w:rsid w:val="00CE328E"/>
    <w:rsid w:val="00CE4891"/>
    <w:rsid w:val="00CE7522"/>
    <w:rsid w:val="00CE7A50"/>
    <w:rsid w:val="00CE7C49"/>
    <w:rsid w:val="00CF0303"/>
    <w:rsid w:val="00CF0443"/>
    <w:rsid w:val="00CF053C"/>
    <w:rsid w:val="00CF08D1"/>
    <w:rsid w:val="00CF0FC8"/>
    <w:rsid w:val="00CF16ED"/>
    <w:rsid w:val="00CF1B43"/>
    <w:rsid w:val="00CF3B69"/>
    <w:rsid w:val="00CF3BD1"/>
    <w:rsid w:val="00CF4FE7"/>
    <w:rsid w:val="00CF5038"/>
    <w:rsid w:val="00CF5239"/>
    <w:rsid w:val="00CF5D48"/>
    <w:rsid w:val="00CF66F3"/>
    <w:rsid w:val="00CF70CA"/>
    <w:rsid w:val="00CF7C4A"/>
    <w:rsid w:val="00CF7F6D"/>
    <w:rsid w:val="00D004D2"/>
    <w:rsid w:val="00D00CBF"/>
    <w:rsid w:val="00D00FC9"/>
    <w:rsid w:val="00D0102D"/>
    <w:rsid w:val="00D011FD"/>
    <w:rsid w:val="00D01836"/>
    <w:rsid w:val="00D022F1"/>
    <w:rsid w:val="00D02987"/>
    <w:rsid w:val="00D03F0F"/>
    <w:rsid w:val="00D050A4"/>
    <w:rsid w:val="00D052E2"/>
    <w:rsid w:val="00D05A6F"/>
    <w:rsid w:val="00D06427"/>
    <w:rsid w:val="00D0657D"/>
    <w:rsid w:val="00D10A51"/>
    <w:rsid w:val="00D1127F"/>
    <w:rsid w:val="00D12149"/>
    <w:rsid w:val="00D12E57"/>
    <w:rsid w:val="00D12FCF"/>
    <w:rsid w:val="00D13041"/>
    <w:rsid w:val="00D13366"/>
    <w:rsid w:val="00D13FE4"/>
    <w:rsid w:val="00D142B9"/>
    <w:rsid w:val="00D14F7F"/>
    <w:rsid w:val="00D151C3"/>
    <w:rsid w:val="00D16501"/>
    <w:rsid w:val="00D20018"/>
    <w:rsid w:val="00D2029A"/>
    <w:rsid w:val="00D20B90"/>
    <w:rsid w:val="00D20F15"/>
    <w:rsid w:val="00D22344"/>
    <w:rsid w:val="00D223AE"/>
    <w:rsid w:val="00D235D1"/>
    <w:rsid w:val="00D236A9"/>
    <w:rsid w:val="00D236E2"/>
    <w:rsid w:val="00D23E92"/>
    <w:rsid w:val="00D24209"/>
    <w:rsid w:val="00D24D95"/>
    <w:rsid w:val="00D250A2"/>
    <w:rsid w:val="00D26426"/>
    <w:rsid w:val="00D26D3E"/>
    <w:rsid w:val="00D26E17"/>
    <w:rsid w:val="00D274B0"/>
    <w:rsid w:val="00D27724"/>
    <w:rsid w:val="00D27866"/>
    <w:rsid w:val="00D27E61"/>
    <w:rsid w:val="00D30347"/>
    <w:rsid w:val="00D30C3D"/>
    <w:rsid w:val="00D30E12"/>
    <w:rsid w:val="00D3198B"/>
    <w:rsid w:val="00D319CB"/>
    <w:rsid w:val="00D32F67"/>
    <w:rsid w:val="00D33315"/>
    <w:rsid w:val="00D33692"/>
    <w:rsid w:val="00D35997"/>
    <w:rsid w:val="00D361BA"/>
    <w:rsid w:val="00D369BC"/>
    <w:rsid w:val="00D379A7"/>
    <w:rsid w:val="00D37CBA"/>
    <w:rsid w:val="00D40244"/>
    <w:rsid w:val="00D41033"/>
    <w:rsid w:val="00D41E53"/>
    <w:rsid w:val="00D426A0"/>
    <w:rsid w:val="00D42AC2"/>
    <w:rsid w:val="00D44654"/>
    <w:rsid w:val="00D44A31"/>
    <w:rsid w:val="00D45479"/>
    <w:rsid w:val="00D463DF"/>
    <w:rsid w:val="00D46DE9"/>
    <w:rsid w:val="00D502E2"/>
    <w:rsid w:val="00D50D76"/>
    <w:rsid w:val="00D515EA"/>
    <w:rsid w:val="00D519DD"/>
    <w:rsid w:val="00D52207"/>
    <w:rsid w:val="00D5442F"/>
    <w:rsid w:val="00D55682"/>
    <w:rsid w:val="00D56CAE"/>
    <w:rsid w:val="00D60275"/>
    <w:rsid w:val="00D61075"/>
    <w:rsid w:val="00D616D9"/>
    <w:rsid w:val="00D6188B"/>
    <w:rsid w:val="00D61E0A"/>
    <w:rsid w:val="00D627D3"/>
    <w:rsid w:val="00D628CF"/>
    <w:rsid w:val="00D63114"/>
    <w:rsid w:val="00D63830"/>
    <w:rsid w:val="00D63A35"/>
    <w:rsid w:val="00D63F6B"/>
    <w:rsid w:val="00D64071"/>
    <w:rsid w:val="00D64A2B"/>
    <w:rsid w:val="00D6704E"/>
    <w:rsid w:val="00D67527"/>
    <w:rsid w:val="00D67B65"/>
    <w:rsid w:val="00D70414"/>
    <w:rsid w:val="00D7184A"/>
    <w:rsid w:val="00D71E78"/>
    <w:rsid w:val="00D72B42"/>
    <w:rsid w:val="00D72C23"/>
    <w:rsid w:val="00D73029"/>
    <w:rsid w:val="00D73723"/>
    <w:rsid w:val="00D74B0F"/>
    <w:rsid w:val="00D75EE5"/>
    <w:rsid w:val="00D7632B"/>
    <w:rsid w:val="00D77390"/>
    <w:rsid w:val="00D77794"/>
    <w:rsid w:val="00D77A32"/>
    <w:rsid w:val="00D77A3B"/>
    <w:rsid w:val="00D77C3E"/>
    <w:rsid w:val="00D801E0"/>
    <w:rsid w:val="00D80BAF"/>
    <w:rsid w:val="00D80C83"/>
    <w:rsid w:val="00D8103F"/>
    <w:rsid w:val="00D81699"/>
    <w:rsid w:val="00D81FAF"/>
    <w:rsid w:val="00D83366"/>
    <w:rsid w:val="00D83D3F"/>
    <w:rsid w:val="00D841DA"/>
    <w:rsid w:val="00D84256"/>
    <w:rsid w:val="00D858EB"/>
    <w:rsid w:val="00D86612"/>
    <w:rsid w:val="00D90A22"/>
    <w:rsid w:val="00D91AA2"/>
    <w:rsid w:val="00D93208"/>
    <w:rsid w:val="00D93C93"/>
    <w:rsid w:val="00D93EFF"/>
    <w:rsid w:val="00D94A79"/>
    <w:rsid w:val="00D94FBD"/>
    <w:rsid w:val="00D95FCF"/>
    <w:rsid w:val="00D967BE"/>
    <w:rsid w:val="00D968A7"/>
    <w:rsid w:val="00DA021F"/>
    <w:rsid w:val="00DA14A3"/>
    <w:rsid w:val="00DA1A5E"/>
    <w:rsid w:val="00DA25AF"/>
    <w:rsid w:val="00DA27EE"/>
    <w:rsid w:val="00DA3065"/>
    <w:rsid w:val="00DA353E"/>
    <w:rsid w:val="00DA3D74"/>
    <w:rsid w:val="00DA6951"/>
    <w:rsid w:val="00DA69E5"/>
    <w:rsid w:val="00DA73D1"/>
    <w:rsid w:val="00DA7FC9"/>
    <w:rsid w:val="00DB05A2"/>
    <w:rsid w:val="00DB1529"/>
    <w:rsid w:val="00DB1A3A"/>
    <w:rsid w:val="00DB2081"/>
    <w:rsid w:val="00DB20A3"/>
    <w:rsid w:val="00DB2449"/>
    <w:rsid w:val="00DB2EE1"/>
    <w:rsid w:val="00DB3375"/>
    <w:rsid w:val="00DB5316"/>
    <w:rsid w:val="00DB5F54"/>
    <w:rsid w:val="00DB6E0E"/>
    <w:rsid w:val="00DB73BA"/>
    <w:rsid w:val="00DB7C7A"/>
    <w:rsid w:val="00DB7D56"/>
    <w:rsid w:val="00DC019B"/>
    <w:rsid w:val="00DC3035"/>
    <w:rsid w:val="00DC368D"/>
    <w:rsid w:val="00DC3906"/>
    <w:rsid w:val="00DC3BD2"/>
    <w:rsid w:val="00DC3FC9"/>
    <w:rsid w:val="00DC462D"/>
    <w:rsid w:val="00DC4A00"/>
    <w:rsid w:val="00DC5515"/>
    <w:rsid w:val="00DC57BC"/>
    <w:rsid w:val="00DC626B"/>
    <w:rsid w:val="00DC6DAA"/>
    <w:rsid w:val="00DC75E4"/>
    <w:rsid w:val="00DC7EF4"/>
    <w:rsid w:val="00DD242F"/>
    <w:rsid w:val="00DD33E1"/>
    <w:rsid w:val="00DD3767"/>
    <w:rsid w:val="00DD468B"/>
    <w:rsid w:val="00DD4893"/>
    <w:rsid w:val="00DD48B9"/>
    <w:rsid w:val="00DD73AB"/>
    <w:rsid w:val="00DD7CAC"/>
    <w:rsid w:val="00DE032E"/>
    <w:rsid w:val="00DE0400"/>
    <w:rsid w:val="00DE1983"/>
    <w:rsid w:val="00DE25C1"/>
    <w:rsid w:val="00DE28A6"/>
    <w:rsid w:val="00DE3059"/>
    <w:rsid w:val="00DE431E"/>
    <w:rsid w:val="00DE4D99"/>
    <w:rsid w:val="00DE50AF"/>
    <w:rsid w:val="00DE53AE"/>
    <w:rsid w:val="00DE579A"/>
    <w:rsid w:val="00DE6D4D"/>
    <w:rsid w:val="00DF0B05"/>
    <w:rsid w:val="00DF0CD8"/>
    <w:rsid w:val="00DF12A7"/>
    <w:rsid w:val="00DF17B5"/>
    <w:rsid w:val="00DF2F0D"/>
    <w:rsid w:val="00DF3073"/>
    <w:rsid w:val="00DF44E7"/>
    <w:rsid w:val="00DF46E2"/>
    <w:rsid w:val="00DF4ACB"/>
    <w:rsid w:val="00DF6DC6"/>
    <w:rsid w:val="00DF72CC"/>
    <w:rsid w:val="00DF7E4A"/>
    <w:rsid w:val="00DF7F9F"/>
    <w:rsid w:val="00E004F2"/>
    <w:rsid w:val="00E0145A"/>
    <w:rsid w:val="00E01989"/>
    <w:rsid w:val="00E01FCB"/>
    <w:rsid w:val="00E02A71"/>
    <w:rsid w:val="00E03997"/>
    <w:rsid w:val="00E03C22"/>
    <w:rsid w:val="00E03D46"/>
    <w:rsid w:val="00E04A09"/>
    <w:rsid w:val="00E0500B"/>
    <w:rsid w:val="00E06653"/>
    <w:rsid w:val="00E06CA2"/>
    <w:rsid w:val="00E07392"/>
    <w:rsid w:val="00E073F5"/>
    <w:rsid w:val="00E07A8C"/>
    <w:rsid w:val="00E07D5F"/>
    <w:rsid w:val="00E10342"/>
    <w:rsid w:val="00E11240"/>
    <w:rsid w:val="00E11BFE"/>
    <w:rsid w:val="00E124B1"/>
    <w:rsid w:val="00E140FD"/>
    <w:rsid w:val="00E141A5"/>
    <w:rsid w:val="00E141C5"/>
    <w:rsid w:val="00E14E4B"/>
    <w:rsid w:val="00E14F96"/>
    <w:rsid w:val="00E15751"/>
    <w:rsid w:val="00E1642B"/>
    <w:rsid w:val="00E16590"/>
    <w:rsid w:val="00E173D5"/>
    <w:rsid w:val="00E20167"/>
    <w:rsid w:val="00E20777"/>
    <w:rsid w:val="00E20C92"/>
    <w:rsid w:val="00E21AC3"/>
    <w:rsid w:val="00E2212B"/>
    <w:rsid w:val="00E22477"/>
    <w:rsid w:val="00E22BA4"/>
    <w:rsid w:val="00E23A14"/>
    <w:rsid w:val="00E24489"/>
    <w:rsid w:val="00E244DF"/>
    <w:rsid w:val="00E252D4"/>
    <w:rsid w:val="00E2537F"/>
    <w:rsid w:val="00E254C5"/>
    <w:rsid w:val="00E258DC"/>
    <w:rsid w:val="00E259E8"/>
    <w:rsid w:val="00E25F4E"/>
    <w:rsid w:val="00E266BC"/>
    <w:rsid w:val="00E301B7"/>
    <w:rsid w:val="00E31519"/>
    <w:rsid w:val="00E3173C"/>
    <w:rsid w:val="00E31FE3"/>
    <w:rsid w:val="00E32216"/>
    <w:rsid w:val="00E328E1"/>
    <w:rsid w:val="00E32908"/>
    <w:rsid w:val="00E32D03"/>
    <w:rsid w:val="00E32F78"/>
    <w:rsid w:val="00E33FE2"/>
    <w:rsid w:val="00E34BA9"/>
    <w:rsid w:val="00E351FC"/>
    <w:rsid w:val="00E36443"/>
    <w:rsid w:val="00E37B27"/>
    <w:rsid w:val="00E41427"/>
    <w:rsid w:val="00E41E6D"/>
    <w:rsid w:val="00E424D5"/>
    <w:rsid w:val="00E42655"/>
    <w:rsid w:val="00E43C3D"/>
    <w:rsid w:val="00E4545A"/>
    <w:rsid w:val="00E463C3"/>
    <w:rsid w:val="00E472E8"/>
    <w:rsid w:val="00E47FAC"/>
    <w:rsid w:val="00E508C9"/>
    <w:rsid w:val="00E50BED"/>
    <w:rsid w:val="00E516CA"/>
    <w:rsid w:val="00E52064"/>
    <w:rsid w:val="00E52BAF"/>
    <w:rsid w:val="00E53D86"/>
    <w:rsid w:val="00E5406E"/>
    <w:rsid w:val="00E56B43"/>
    <w:rsid w:val="00E56EB5"/>
    <w:rsid w:val="00E57301"/>
    <w:rsid w:val="00E60F75"/>
    <w:rsid w:val="00E60FE5"/>
    <w:rsid w:val="00E6178E"/>
    <w:rsid w:val="00E61C55"/>
    <w:rsid w:val="00E623B6"/>
    <w:rsid w:val="00E627BF"/>
    <w:rsid w:val="00E62DEC"/>
    <w:rsid w:val="00E636E7"/>
    <w:rsid w:val="00E64478"/>
    <w:rsid w:val="00E65312"/>
    <w:rsid w:val="00E6545B"/>
    <w:rsid w:val="00E665BA"/>
    <w:rsid w:val="00E666D6"/>
    <w:rsid w:val="00E66A0A"/>
    <w:rsid w:val="00E66E0B"/>
    <w:rsid w:val="00E67B87"/>
    <w:rsid w:val="00E71421"/>
    <w:rsid w:val="00E71685"/>
    <w:rsid w:val="00E71DE1"/>
    <w:rsid w:val="00E72292"/>
    <w:rsid w:val="00E72C01"/>
    <w:rsid w:val="00E72FFC"/>
    <w:rsid w:val="00E730EF"/>
    <w:rsid w:val="00E73FD8"/>
    <w:rsid w:val="00E749C9"/>
    <w:rsid w:val="00E750FA"/>
    <w:rsid w:val="00E75716"/>
    <w:rsid w:val="00E75C15"/>
    <w:rsid w:val="00E76952"/>
    <w:rsid w:val="00E76DF9"/>
    <w:rsid w:val="00E7709E"/>
    <w:rsid w:val="00E77569"/>
    <w:rsid w:val="00E777CC"/>
    <w:rsid w:val="00E80D68"/>
    <w:rsid w:val="00E81D3C"/>
    <w:rsid w:val="00E81E61"/>
    <w:rsid w:val="00E81FE9"/>
    <w:rsid w:val="00E82141"/>
    <w:rsid w:val="00E8377D"/>
    <w:rsid w:val="00E83868"/>
    <w:rsid w:val="00E853A5"/>
    <w:rsid w:val="00E85C43"/>
    <w:rsid w:val="00E86635"/>
    <w:rsid w:val="00E8736F"/>
    <w:rsid w:val="00E90373"/>
    <w:rsid w:val="00E91453"/>
    <w:rsid w:val="00E917D9"/>
    <w:rsid w:val="00E931A7"/>
    <w:rsid w:val="00E9328E"/>
    <w:rsid w:val="00E9330C"/>
    <w:rsid w:val="00E952CF"/>
    <w:rsid w:val="00E95786"/>
    <w:rsid w:val="00E9641A"/>
    <w:rsid w:val="00E96864"/>
    <w:rsid w:val="00E96E8D"/>
    <w:rsid w:val="00E9703D"/>
    <w:rsid w:val="00E97525"/>
    <w:rsid w:val="00E97D1C"/>
    <w:rsid w:val="00E97DFF"/>
    <w:rsid w:val="00EA11F0"/>
    <w:rsid w:val="00EA1C3F"/>
    <w:rsid w:val="00EA21E5"/>
    <w:rsid w:val="00EA450E"/>
    <w:rsid w:val="00EA4E10"/>
    <w:rsid w:val="00EA5BD7"/>
    <w:rsid w:val="00EB0395"/>
    <w:rsid w:val="00EB16AF"/>
    <w:rsid w:val="00EB1732"/>
    <w:rsid w:val="00EB213F"/>
    <w:rsid w:val="00EB22B5"/>
    <w:rsid w:val="00EB2EB8"/>
    <w:rsid w:val="00EB58D2"/>
    <w:rsid w:val="00EB66AC"/>
    <w:rsid w:val="00EB7903"/>
    <w:rsid w:val="00EB7F23"/>
    <w:rsid w:val="00EC0366"/>
    <w:rsid w:val="00EC192B"/>
    <w:rsid w:val="00EC22A5"/>
    <w:rsid w:val="00EC249B"/>
    <w:rsid w:val="00EC33B3"/>
    <w:rsid w:val="00EC4FBD"/>
    <w:rsid w:val="00EC4FFA"/>
    <w:rsid w:val="00EC500F"/>
    <w:rsid w:val="00EC501D"/>
    <w:rsid w:val="00EC51A7"/>
    <w:rsid w:val="00EC5711"/>
    <w:rsid w:val="00EC596C"/>
    <w:rsid w:val="00EC5CDF"/>
    <w:rsid w:val="00EC6594"/>
    <w:rsid w:val="00ED02B2"/>
    <w:rsid w:val="00ED04A8"/>
    <w:rsid w:val="00ED06E3"/>
    <w:rsid w:val="00ED2C4B"/>
    <w:rsid w:val="00ED2F1E"/>
    <w:rsid w:val="00ED313E"/>
    <w:rsid w:val="00ED3FA5"/>
    <w:rsid w:val="00ED52CD"/>
    <w:rsid w:val="00ED5749"/>
    <w:rsid w:val="00ED5BD8"/>
    <w:rsid w:val="00ED63AA"/>
    <w:rsid w:val="00ED6BE6"/>
    <w:rsid w:val="00ED72F7"/>
    <w:rsid w:val="00ED772A"/>
    <w:rsid w:val="00EE04CE"/>
    <w:rsid w:val="00EE12BF"/>
    <w:rsid w:val="00EE1352"/>
    <w:rsid w:val="00EE17BD"/>
    <w:rsid w:val="00EE1CD5"/>
    <w:rsid w:val="00EE206F"/>
    <w:rsid w:val="00EE2A23"/>
    <w:rsid w:val="00EE2C6A"/>
    <w:rsid w:val="00EE415C"/>
    <w:rsid w:val="00EE4200"/>
    <w:rsid w:val="00EE4954"/>
    <w:rsid w:val="00EE52C7"/>
    <w:rsid w:val="00EE65E6"/>
    <w:rsid w:val="00EE66DB"/>
    <w:rsid w:val="00EE6A85"/>
    <w:rsid w:val="00EE7F10"/>
    <w:rsid w:val="00EF0B4D"/>
    <w:rsid w:val="00EF0B84"/>
    <w:rsid w:val="00EF280E"/>
    <w:rsid w:val="00EF3183"/>
    <w:rsid w:val="00EF3315"/>
    <w:rsid w:val="00EF3545"/>
    <w:rsid w:val="00EF3C5A"/>
    <w:rsid w:val="00EF43C8"/>
    <w:rsid w:val="00EF4CE0"/>
    <w:rsid w:val="00EF52C1"/>
    <w:rsid w:val="00EF6104"/>
    <w:rsid w:val="00EF66CD"/>
    <w:rsid w:val="00EF6939"/>
    <w:rsid w:val="00EF74D9"/>
    <w:rsid w:val="00EF7EF2"/>
    <w:rsid w:val="00F002DC"/>
    <w:rsid w:val="00F01B18"/>
    <w:rsid w:val="00F027AC"/>
    <w:rsid w:val="00F029F7"/>
    <w:rsid w:val="00F03AFD"/>
    <w:rsid w:val="00F070A7"/>
    <w:rsid w:val="00F07BBA"/>
    <w:rsid w:val="00F07D86"/>
    <w:rsid w:val="00F10445"/>
    <w:rsid w:val="00F10593"/>
    <w:rsid w:val="00F121AF"/>
    <w:rsid w:val="00F12D75"/>
    <w:rsid w:val="00F15653"/>
    <w:rsid w:val="00F15DCE"/>
    <w:rsid w:val="00F16D82"/>
    <w:rsid w:val="00F209BC"/>
    <w:rsid w:val="00F211B6"/>
    <w:rsid w:val="00F2189C"/>
    <w:rsid w:val="00F2400B"/>
    <w:rsid w:val="00F24D90"/>
    <w:rsid w:val="00F26F7C"/>
    <w:rsid w:val="00F26FF9"/>
    <w:rsid w:val="00F27692"/>
    <w:rsid w:val="00F27C3D"/>
    <w:rsid w:val="00F3045A"/>
    <w:rsid w:val="00F30590"/>
    <w:rsid w:val="00F30F57"/>
    <w:rsid w:val="00F316AF"/>
    <w:rsid w:val="00F33290"/>
    <w:rsid w:val="00F33942"/>
    <w:rsid w:val="00F33EE5"/>
    <w:rsid w:val="00F35975"/>
    <w:rsid w:val="00F35AD7"/>
    <w:rsid w:val="00F35C2E"/>
    <w:rsid w:val="00F360C5"/>
    <w:rsid w:val="00F361D5"/>
    <w:rsid w:val="00F361FC"/>
    <w:rsid w:val="00F36E32"/>
    <w:rsid w:val="00F36FA9"/>
    <w:rsid w:val="00F370F8"/>
    <w:rsid w:val="00F37322"/>
    <w:rsid w:val="00F376D3"/>
    <w:rsid w:val="00F40FD9"/>
    <w:rsid w:val="00F41843"/>
    <w:rsid w:val="00F42104"/>
    <w:rsid w:val="00F43F3C"/>
    <w:rsid w:val="00F44AB6"/>
    <w:rsid w:val="00F44F63"/>
    <w:rsid w:val="00F44F7C"/>
    <w:rsid w:val="00F456BA"/>
    <w:rsid w:val="00F4617B"/>
    <w:rsid w:val="00F46892"/>
    <w:rsid w:val="00F46C55"/>
    <w:rsid w:val="00F46FC6"/>
    <w:rsid w:val="00F4763D"/>
    <w:rsid w:val="00F5061D"/>
    <w:rsid w:val="00F5420C"/>
    <w:rsid w:val="00F54624"/>
    <w:rsid w:val="00F5470A"/>
    <w:rsid w:val="00F548CB"/>
    <w:rsid w:val="00F565EC"/>
    <w:rsid w:val="00F566BC"/>
    <w:rsid w:val="00F56CF1"/>
    <w:rsid w:val="00F570FD"/>
    <w:rsid w:val="00F57A3B"/>
    <w:rsid w:val="00F61827"/>
    <w:rsid w:val="00F61992"/>
    <w:rsid w:val="00F61FE2"/>
    <w:rsid w:val="00F62DD3"/>
    <w:rsid w:val="00F64602"/>
    <w:rsid w:val="00F64CC1"/>
    <w:rsid w:val="00F659C6"/>
    <w:rsid w:val="00F65C0D"/>
    <w:rsid w:val="00F66207"/>
    <w:rsid w:val="00F703F8"/>
    <w:rsid w:val="00F70C86"/>
    <w:rsid w:val="00F7154C"/>
    <w:rsid w:val="00F71BFF"/>
    <w:rsid w:val="00F72171"/>
    <w:rsid w:val="00F72963"/>
    <w:rsid w:val="00F733A8"/>
    <w:rsid w:val="00F73E85"/>
    <w:rsid w:val="00F74F92"/>
    <w:rsid w:val="00F76385"/>
    <w:rsid w:val="00F7677E"/>
    <w:rsid w:val="00F7690F"/>
    <w:rsid w:val="00F804B6"/>
    <w:rsid w:val="00F8060A"/>
    <w:rsid w:val="00F806F2"/>
    <w:rsid w:val="00F81918"/>
    <w:rsid w:val="00F81A05"/>
    <w:rsid w:val="00F81E2A"/>
    <w:rsid w:val="00F82187"/>
    <w:rsid w:val="00F82683"/>
    <w:rsid w:val="00F82884"/>
    <w:rsid w:val="00F82DFD"/>
    <w:rsid w:val="00F84148"/>
    <w:rsid w:val="00F84DAD"/>
    <w:rsid w:val="00F853DA"/>
    <w:rsid w:val="00F85813"/>
    <w:rsid w:val="00F85E4E"/>
    <w:rsid w:val="00F85ED3"/>
    <w:rsid w:val="00F87B84"/>
    <w:rsid w:val="00F87E22"/>
    <w:rsid w:val="00F9081B"/>
    <w:rsid w:val="00F91129"/>
    <w:rsid w:val="00F9123A"/>
    <w:rsid w:val="00F917E1"/>
    <w:rsid w:val="00F926CF"/>
    <w:rsid w:val="00F93FB4"/>
    <w:rsid w:val="00F96137"/>
    <w:rsid w:val="00F97684"/>
    <w:rsid w:val="00F97799"/>
    <w:rsid w:val="00FA0D4B"/>
    <w:rsid w:val="00FA0EBE"/>
    <w:rsid w:val="00FA25B5"/>
    <w:rsid w:val="00FA2A38"/>
    <w:rsid w:val="00FA2FCE"/>
    <w:rsid w:val="00FA38CB"/>
    <w:rsid w:val="00FA4572"/>
    <w:rsid w:val="00FA46A0"/>
    <w:rsid w:val="00FA4A56"/>
    <w:rsid w:val="00FA4C0C"/>
    <w:rsid w:val="00FA5419"/>
    <w:rsid w:val="00FA595C"/>
    <w:rsid w:val="00FA5A2B"/>
    <w:rsid w:val="00FA5D6B"/>
    <w:rsid w:val="00FA6C12"/>
    <w:rsid w:val="00FA7253"/>
    <w:rsid w:val="00FA747F"/>
    <w:rsid w:val="00FB0033"/>
    <w:rsid w:val="00FB08E9"/>
    <w:rsid w:val="00FB0BD2"/>
    <w:rsid w:val="00FB249D"/>
    <w:rsid w:val="00FB2810"/>
    <w:rsid w:val="00FB2817"/>
    <w:rsid w:val="00FB394C"/>
    <w:rsid w:val="00FB45E8"/>
    <w:rsid w:val="00FB48B3"/>
    <w:rsid w:val="00FB4C70"/>
    <w:rsid w:val="00FB4D12"/>
    <w:rsid w:val="00FB5E19"/>
    <w:rsid w:val="00FB7608"/>
    <w:rsid w:val="00FC0653"/>
    <w:rsid w:val="00FC14A8"/>
    <w:rsid w:val="00FC1DC3"/>
    <w:rsid w:val="00FC29C9"/>
    <w:rsid w:val="00FC2D35"/>
    <w:rsid w:val="00FC3366"/>
    <w:rsid w:val="00FC3FCE"/>
    <w:rsid w:val="00FC40EB"/>
    <w:rsid w:val="00FC4268"/>
    <w:rsid w:val="00FC49CF"/>
    <w:rsid w:val="00FC4B12"/>
    <w:rsid w:val="00FC4F92"/>
    <w:rsid w:val="00FC6572"/>
    <w:rsid w:val="00FC7490"/>
    <w:rsid w:val="00FC780F"/>
    <w:rsid w:val="00FC7A54"/>
    <w:rsid w:val="00FD10FA"/>
    <w:rsid w:val="00FD1EF4"/>
    <w:rsid w:val="00FD22D7"/>
    <w:rsid w:val="00FD299D"/>
    <w:rsid w:val="00FD3276"/>
    <w:rsid w:val="00FD4E73"/>
    <w:rsid w:val="00FD59F3"/>
    <w:rsid w:val="00FD66F8"/>
    <w:rsid w:val="00FD6F5D"/>
    <w:rsid w:val="00FE0BEA"/>
    <w:rsid w:val="00FE158C"/>
    <w:rsid w:val="00FE2449"/>
    <w:rsid w:val="00FE28F5"/>
    <w:rsid w:val="00FE3309"/>
    <w:rsid w:val="00FE37D3"/>
    <w:rsid w:val="00FE3E59"/>
    <w:rsid w:val="00FE3ECF"/>
    <w:rsid w:val="00FE5066"/>
    <w:rsid w:val="00FE54A0"/>
    <w:rsid w:val="00FE55BC"/>
    <w:rsid w:val="00FE5726"/>
    <w:rsid w:val="00FE5967"/>
    <w:rsid w:val="00FE5EDC"/>
    <w:rsid w:val="00FE6012"/>
    <w:rsid w:val="00FE61FE"/>
    <w:rsid w:val="00FE6C0C"/>
    <w:rsid w:val="00FE6D39"/>
    <w:rsid w:val="00FE6DC3"/>
    <w:rsid w:val="00FE7193"/>
    <w:rsid w:val="00FE7D03"/>
    <w:rsid w:val="00FF030D"/>
    <w:rsid w:val="00FF0B73"/>
    <w:rsid w:val="00FF2BDA"/>
    <w:rsid w:val="2AB27D10"/>
    <w:rsid w:val="32929391"/>
    <w:rsid w:val="59534281"/>
    <w:rsid w:val="5D5FBA91"/>
    <w:rsid w:val="695A7A5F"/>
    <w:rsid w:val="75D6C6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5BEC5660"/>
  <w15:docId w15:val="{180B82ED-C788-4CD0-8607-0A0EE25C3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C15"/>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Ttulo2"/>
    <w:link w:val="Ttulo1Car"/>
    <w:qFormat/>
    <w:rsid w:val="003D7024"/>
    <w:pPr>
      <w:keepNext/>
      <w:keepLines/>
      <w:numPr>
        <w:numId w:val="1"/>
      </w:numPr>
      <w:tabs>
        <w:tab w:val="clear" w:pos="720"/>
      </w:tabs>
      <w:spacing w:before="240"/>
      <w:jc w:val="both"/>
      <w:outlineLvl w:val="0"/>
    </w:pPr>
    <w:rPr>
      <w:rFonts w:ascii="Arial" w:hAnsi="Arial" w:cs="Arial"/>
      <w:b/>
      <w:bCs/>
      <w:sz w:val="22"/>
      <w:szCs w:val="28"/>
      <w:lang w:val="en-US" w:eastAsia="en-US"/>
    </w:rPr>
  </w:style>
  <w:style w:type="paragraph" w:styleId="Ttulo2">
    <w:name w:val="heading 2"/>
    <w:basedOn w:val="Normal"/>
    <w:link w:val="Ttulo2Car"/>
    <w:qFormat/>
    <w:rsid w:val="003D7024"/>
    <w:pPr>
      <w:keepNext/>
      <w:numPr>
        <w:ilvl w:val="1"/>
        <w:numId w:val="1"/>
      </w:numPr>
      <w:spacing w:before="240"/>
      <w:jc w:val="both"/>
      <w:outlineLvl w:val="1"/>
    </w:pPr>
    <w:rPr>
      <w:rFonts w:ascii="Arial" w:hAnsi="Arial" w:cs="Arial"/>
      <w:b/>
      <w:bCs/>
      <w:sz w:val="22"/>
      <w:szCs w:val="26"/>
      <w:lang w:val="en-US" w:eastAsia="en-US"/>
    </w:rPr>
  </w:style>
  <w:style w:type="paragraph" w:styleId="Ttulo3">
    <w:name w:val="heading 3"/>
    <w:basedOn w:val="Normal"/>
    <w:link w:val="Ttulo3Car"/>
    <w:qFormat/>
    <w:rsid w:val="003D7024"/>
    <w:pPr>
      <w:numPr>
        <w:ilvl w:val="2"/>
        <w:numId w:val="1"/>
      </w:numPr>
      <w:spacing w:before="240"/>
      <w:jc w:val="both"/>
      <w:outlineLvl w:val="2"/>
    </w:pPr>
    <w:rPr>
      <w:rFonts w:ascii="Arial" w:hAnsi="Arial" w:cs="Arial"/>
      <w:bCs/>
      <w:sz w:val="22"/>
      <w:lang w:val="en-US" w:eastAsia="en-US"/>
    </w:rPr>
  </w:style>
  <w:style w:type="paragraph" w:styleId="Ttulo4">
    <w:name w:val="heading 4"/>
    <w:basedOn w:val="Normal"/>
    <w:link w:val="Ttulo4Car"/>
    <w:qFormat/>
    <w:rsid w:val="003D7024"/>
    <w:pPr>
      <w:numPr>
        <w:ilvl w:val="3"/>
        <w:numId w:val="1"/>
      </w:numPr>
      <w:tabs>
        <w:tab w:val="clear" w:pos="2160"/>
      </w:tabs>
      <w:spacing w:before="240"/>
      <w:jc w:val="both"/>
      <w:outlineLvl w:val="3"/>
    </w:pPr>
    <w:rPr>
      <w:rFonts w:ascii="Arial" w:hAnsi="Arial" w:cs="Arial"/>
      <w:bCs/>
      <w:iCs/>
      <w:sz w:val="22"/>
      <w:lang w:val="en-US" w:eastAsia="en-US"/>
    </w:rPr>
  </w:style>
  <w:style w:type="paragraph" w:styleId="Ttulo5">
    <w:name w:val="heading 5"/>
    <w:basedOn w:val="Normal"/>
    <w:link w:val="Ttulo5Car"/>
    <w:qFormat/>
    <w:rsid w:val="003D7024"/>
    <w:pPr>
      <w:numPr>
        <w:ilvl w:val="4"/>
        <w:numId w:val="1"/>
      </w:numPr>
      <w:tabs>
        <w:tab w:val="clear" w:pos="2880"/>
      </w:tabs>
      <w:spacing w:before="240"/>
      <w:jc w:val="both"/>
      <w:outlineLvl w:val="4"/>
    </w:pPr>
    <w:rPr>
      <w:rFonts w:ascii="Arial" w:hAnsi="Arial" w:cs="Arial"/>
      <w:sz w:val="22"/>
      <w:lang w:val="en-US" w:eastAsia="en-US"/>
    </w:rPr>
  </w:style>
  <w:style w:type="paragraph" w:styleId="Ttulo6">
    <w:name w:val="heading 6"/>
    <w:basedOn w:val="Normal"/>
    <w:link w:val="Ttulo6Car"/>
    <w:qFormat/>
    <w:rsid w:val="003D7024"/>
    <w:pPr>
      <w:numPr>
        <w:ilvl w:val="5"/>
        <w:numId w:val="1"/>
      </w:numPr>
      <w:tabs>
        <w:tab w:val="clear" w:pos="3600"/>
      </w:tabs>
      <w:spacing w:before="240"/>
      <w:jc w:val="both"/>
      <w:outlineLvl w:val="5"/>
    </w:pPr>
    <w:rPr>
      <w:rFonts w:ascii="Arial" w:hAnsi="Arial" w:cs="Arial"/>
      <w:iCs/>
      <w:sz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3D38A2"/>
    <w:pPr>
      <w:widowControl w:val="0"/>
      <w:autoSpaceDE w:val="0"/>
      <w:autoSpaceDN w:val="0"/>
    </w:pPr>
    <w:rPr>
      <w:rFonts w:ascii="Arial" w:eastAsia="Arial" w:hAnsi="Arial" w:cs="Arial"/>
      <w:i/>
      <w:sz w:val="22"/>
      <w:szCs w:val="22"/>
      <w:lang w:eastAsia="es-CR" w:bidi="es-CR"/>
    </w:rPr>
  </w:style>
  <w:style w:type="character" w:customStyle="1" w:styleId="TextoindependienteCar">
    <w:name w:val="Texto independiente Car"/>
    <w:basedOn w:val="Fuentedeprrafopredeter"/>
    <w:link w:val="Textoindependiente"/>
    <w:uiPriority w:val="1"/>
    <w:rsid w:val="003D38A2"/>
    <w:rPr>
      <w:rFonts w:ascii="Arial" w:eastAsia="Arial" w:hAnsi="Arial" w:cs="Arial"/>
      <w:i/>
      <w:lang w:eastAsia="es-CR" w:bidi="es-CR"/>
    </w:rPr>
  </w:style>
  <w:style w:type="paragraph" w:customStyle="1" w:styleId="TableParagraph">
    <w:name w:val="Table Paragraph"/>
    <w:basedOn w:val="Normal"/>
    <w:uiPriority w:val="1"/>
    <w:qFormat/>
    <w:rsid w:val="003D38A2"/>
    <w:pPr>
      <w:widowControl w:val="0"/>
      <w:autoSpaceDE w:val="0"/>
      <w:autoSpaceDN w:val="0"/>
      <w:ind w:left="107"/>
    </w:pPr>
    <w:rPr>
      <w:sz w:val="22"/>
      <w:szCs w:val="22"/>
      <w:lang w:eastAsia="es-CR" w:bidi="es-CR"/>
    </w:rPr>
  </w:style>
  <w:style w:type="character" w:customStyle="1" w:styleId="grame">
    <w:name w:val="grame"/>
    <w:basedOn w:val="Fuentedeprrafopredeter"/>
    <w:rsid w:val="00EE206F"/>
  </w:style>
  <w:style w:type="character" w:customStyle="1" w:styleId="apple-converted-space">
    <w:name w:val="apple-converted-space"/>
    <w:basedOn w:val="Fuentedeprrafopredeter"/>
    <w:rsid w:val="00EE206F"/>
  </w:style>
  <w:style w:type="paragraph" w:styleId="NormalWeb">
    <w:name w:val="Normal (Web)"/>
    <w:basedOn w:val="Normal"/>
    <w:uiPriority w:val="99"/>
    <w:unhideWhenUsed/>
    <w:rsid w:val="007C41FF"/>
    <w:pPr>
      <w:spacing w:before="100" w:beforeAutospacing="1" w:after="100" w:afterAutospacing="1"/>
    </w:pPr>
    <w:rPr>
      <w:lang w:eastAsia="es-CR"/>
    </w:rPr>
  </w:style>
  <w:style w:type="table" w:customStyle="1" w:styleId="Tablaconcuadrculaclara1">
    <w:name w:val="Tabla con cuadrícula clara1"/>
    <w:basedOn w:val="Tablanormal"/>
    <w:uiPriority w:val="40"/>
    <w:rsid w:val="0056656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basedOn w:val="Normal"/>
    <w:rsid w:val="0056656C"/>
    <w:pPr>
      <w:spacing w:before="100" w:beforeAutospacing="1" w:after="100" w:afterAutospacing="1"/>
    </w:pPr>
  </w:style>
  <w:style w:type="paragraph" w:styleId="Prrafodelista">
    <w:name w:val="List Paragraph"/>
    <w:aliases w:val="Informe"/>
    <w:basedOn w:val="Normal"/>
    <w:link w:val="PrrafodelistaCar"/>
    <w:uiPriority w:val="34"/>
    <w:qFormat/>
    <w:rsid w:val="00785FA0"/>
    <w:pPr>
      <w:widowControl w:val="0"/>
      <w:autoSpaceDE w:val="0"/>
      <w:autoSpaceDN w:val="0"/>
      <w:ind w:left="116" w:right="737"/>
      <w:jc w:val="both"/>
    </w:pPr>
    <w:rPr>
      <w:rFonts w:ascii="Arial MT" w:eastAsia="Arial MT" w:hAnsi="Arial MT" w:cs="Arial MT"/>
      <w:sz w:val="22"/>
      <w:szCs w:val="22"/>
      <w:lang w:val="es-ES" w:eastAsia="en-US"/>
    </w:rPr>
  </w:style>
  <w:style w:type="character" w:styleId="Hipervnculo">
    <w:name w:val="Hyperlink"/>
    <w:basedOn w:val="Fuentedeprrafopredeter"/>
    <w:uiPriority w:val="99"/>
    <w:unhideWhenUsed/>
    <w:rsid w:val="0016383C"/>
    <w:rPr>
      <w:color w:val="0563C1" w:themeColor="hyperlink"/>
      <w:u w:val="single"/>
    </w:rPr>
  </w:style>
  <w:style w:type="character" w:customStyle="1" w:styleId="spelle">
    <w:name w:val="spelle"/>
    <w:basedOn w:val="Fuentedeprrafopredeter"/>
    <w:rsid w:val="00C726D5"/>
  </w:style>
  <w:style w:type="paragraph" w:customStyle="1" w:styleId="pa7">
    <w:name w:val="pa7"/>
    <w:basedOn w:val="Normal"/>
    <w:rsid w:val="00FE3ECF"/>
    <w:pPr>
      <w:spacing w:before="100" w:beforeAutospacing="1" w:after="100" w:afterAutospacing="1"/>
    </w:pPr>
    <w:rPr>
      <w:lang w:val="es-ES" w:eastAsia="es-ES"/>
    </w:rPr>
  </w:style>
  <w:style w:type="character" w:styleId="Hipervnculovisitado">
    <w:name w:val="FollowedHyperlink"/>
    <w:basedOn w:val="Fuentedeprrafopredeter"/>
    <w:uiPriority w:val="99"/>
    <w:semiHidden/>
    <w:unhideWhenUsed/>
    <w:rsid w:val="0092038A"/>
    <w:rPr>
      <w:color w:val="954F72" w:themeColor="followedHyperlink"/>
      <w:u w:val="single"/>
    </w:rPr>
  </w:style>
  <w:style w:type="character" w:customStyle="1" w:styleId="Ttulo1Car">
    <w:name w:val="Título 1 Car"/>
    <w:basedOn w:val="Fuentedeprrafopredeter"/>
    <w:link w:val="Ttulo1"/>
    <w:rsid w:val="003D7024"/>
    <w:rPr>
      <w:rFonts w:ascii="Arial" w:eastAsia="Times New Roman" w:hAnsi="Arial" w:cs="Arial"/>
      <w:b/>
      <w:bCs/>
      <w:szCs w:val="28"/>
      <w:lang w:val="en-US"/>
    </w:rPr>
  </w:style>
  <w:style w:type="character" w:customStyle="1" w:styleId="Ttulo2Car">
    <w:name w:val="Título 2 Car"/>
    <w:basedOn w:val="Fuentedeprrafopredeter"/>
    <w:link w:val="Ttulo2"/>
    <w:rsid w:val="003D7024"/>
    <w:rPr>
      <w:rFonts w:ascii="Arial" w:eastAsia="Times New Roman" w:hAnsi="Arial" w:cs="Arial"/>
      <w:b/>
      <w:bCs/>
      <w:szCs w:val="26"/>
      <w:lang w:val="en-US"/>
    </w:rPr>
  </w:style>
  <w:style w:type="character" w:customStyle="1" w:styleId="Ttulo3Car">
    <w:name w:val="Título 3 Car"/>
    <w:basedOn w:val="Fuentedeprrafopredeter"/>
    <w:link w:val="Ttulo3"/>
    <w:rsid w:val="003D7024"/>
    <w:rPr>
      <w:rFonts w:ascii="Arial" w:eastAsia="Times New Roman" w:hAnsi="Arial" w:cs="Arial"/>
      <w:bCs/>
      <w:szCs w:val="24"/>
      <w:lang w:val="en-US"/>
    </w:rPr>
  </w:style>
  <w:style w:type="character" w:customStyle="1" w:styleId="Ttulo4Car">
    <w:name w:val="Título 4 Car"/>
    <w:basedOn w:val="Fuentedeprrafopredeter"/>
    <w:link w:val="Ttulo4"/>
    <w:rsid w:val="003D7024"/>
    <w:rPr>
      <w:rFonts w:ascii="Arial" w:eastAsia="Times New Roman" w:hAnsi="Arial" w:cs="Arial"/>
      <w:bCs/>
      <w:iCs/>
      <w:szCs w:val="24"/>
      <w:lang w:val="en-US"/>
    </w:rPr>
  </w:style>
  <w:style w:type="character" w:customStyle="1" w:styleId="Ttulo5Car">
    <w:name w:val="Título 5 Car"/>
    <w:basedOn w:val="Fuentedeprrafopredeter"/>
    <w:link w:val="Ttulo5"/>
    <w:rsid w:val="003D7024"/>
    <w:rPr>
      <w:rFonts w:ascii="Arial" w:eastAsia="Times New Roman" w:hAnsi="Arial" w:cs="Arial"/>
      <w:szCs w:val="24"/>
      <w:lang w:val="en-US"/>
    </w:rPr>
  </w:style>
  <w:style w:type="character" w:customStyle="1" w:styleId="Ttulo6Car">
    <w:name w:val="Título 6 Car"/>
    <w:basedOn w:val="Fuentedeprrafopredeter"/>
    <w:link w:val="Ttulo6"/>
    <w:rsid w:val="003D7024"/>
    <w:rPr>
      <w:rFonts w:ascii="Arial" w:eastAsia="Times New Roman" w:hAnsi="Arial" w:cs="Arial"/>
      <w:iCs/>
      <w:szCs w:val="24"/>
      <w:lang w:val="en-US"/>
    </w:rPr>
  </w:style>
  <w:style w:type="character" w:styleId="Refdecomentario">
    <w:name w:val="annotation reference"/>
    <w:basedOn w:val="Fuentedeprrafopredeter"/>
    <w:uiPriority w:val="99"/>
    <w:semiHidden/>
    <w:unhideWhenUsed/>
    <w:rsid w:val="00664943"/>
    <w:rPr>
      <w:sz w:val="16"/>
      <w:szCs w:val="16"/>
    </w:rPr>
  </w:style>
  <w:style w:type="paragraph" w:styleId="Textocomentario">
    <w:name w:val="annotation text"/>
    <w:basedOn w:val="Normal"/>
    <w:link w:val="TextocomentarioCar"/>
    <w:uiPriority w:val="99"/>
    <w:unhideWhenUsed/>
    <w:rsid w:val="00664943"/>
    <w:pPr>
      <w:spacing w:after="200"/>
    </w:pPr>
    <w:rPr>
      <w:rFonts w:eastAsiaTheme="minorEastAsia"/>
      <w:sz w:val="20"/>
      <w:szCs w:val="20"/>
      <w:lang w:eastAsia="es-CR"/>
    </w:rPr>
  </w:style>
  <w:style w:type="character" w:customStyle="1" w:styleId="TextocomentarioCar">
    <w:name w:val="Texto comentario Car"/>
    <w:basedOn w:val="Fuentedeprrafopredeter"/>
    <w:link w:val="Textocomentario"/>
    <w:uiPriority w:val="99"/>
    <w:rsid w:val="00664943"/>
    <w:rPr>
      <w:rFonts w:ascii="Times New Roman" w:eastAsiaTheme="minorEastAsia" w:hAnsi="Times New Roman" w:cs="Times New Roman"/>
      <w:sz w:val="20"/>
      <w:szCs w:val="20"/>
      <w:lang w:eastAsia="es-CR"/>
    </w:rPr>
  </w:style>
  <w:style w:type="paragraph" w:styleId="Textonotapie">
    <w:name w:val="footnote text"/>
    <w:basedOn w:val="Normal"/>
    <w:link w:val="TextonotapieCar"/>
    <w:semiHidden/>
    <w:unhideWhenUsed/>
    <w:rsid w:val="00F804B6"/>
    <w:rPr>
      <w:sz w:val="20"/>
      <w:szCs w:val="20"/>
      <w:lang w:val="es-ES" w:eastAsia="es-ES"/>
    </w:rPr>
  </w:style>
  <w:style w:type="character" w:customStyle="1" w:styleId="TextonotapieCar">
    <w:name w:val="Texto nota pie Car"/>
    <w:basedOn w:val="Fuentedeprrafopredeter"/>
    <w:link w:val="Textonotapie"/>
    <w:semiHidden/>
    <w:rsid w:val="00F804B6"/>
    <w:rPr>
      <w:rFonts w:ascii="Times New Roman" w:eastAsia="Times New Roman" w:hAnsi="Times New Roman" w:cs="Times New Roman"/>
      <w:sz w:val="20"/>
      <w:szCs w:val="20"/>
      <w:lang w:val="es-ES" w:eastAsia="es-ES"/>
    </w:rPr>
  </w:style>
  <w:style w:type="character" w:styleId="Refdenotaalpie">
    <w:name w:val="footnote reference"/>
    <w:semiHidden/>
    <w:unhideWhenUsed/>
    <w:rsid w:val="00F804B6"/>
    <w:rPr>
      <w:vertAlign w:val="superscript"/>
    </w:rPr>
  </w:style>
  <w:style w:type="character" w:styleId="nfasis">
    <w:name w:val="Emphasis"/>
    <w:basedOn w:val="Fuentedeprrafopredeter"/>
    <w:uiPriority w:val="20"/>
    <w:qFormat/>
    <w:rsid w:val="00A64AF2"/>
    <w:rPr>
      <w:i/>
      <w:iCs/>
    </w:rPr>
  </w:style>
  <w:style w:type="character" w:styleId="Textoennegrita">
    <w:name w:val="Strong"/>
    <w:basedOn w:val="Fuentedeprrafopredeter"/>
    <w:uiPriority w:val="22"/>
    <w:qFormat/>
    <w:rsid w:val="00A64AF2"/>
    <w:rPr>
      <w:b/>
      <w:bCs/>
    </w:rPr>
  </w:style>
  <w:style w:type="paragraph" w:customStyle="1" w:styleId="Default0">
    <w:name w:val="Default"/>
    <w:rsid w:val="004E667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rrafodelistaCar">
    <w:name w:val="Párrafo de lista Car"/>
    <w:aliases w:val="Informe Car"/>
    <w:link w:val="Prrafodelista"/>
    <w:uiPriority w:val="34"/>
    <w:rsid w:val="001320BC"/>
    <w:rPr>
      <w:rFonts w:ascii="Arial MT" w:eastAsia="Arial MT" w:hAnsi="Arial MT" w:cs="Arial MT"/>
      <w:lang w:val="es-ES"/>
    </w:rPr>
  </w:style>
  <w:style w:type="character" w:customStyle="1" w:styleId="ui-provider">
    <w:name w:val="ui-provider"/>
    <w:basedOn w:val="Fuentedeprrafopredeter"/>
    <w:rsid w:val="00A50436"/>
  </w:style>
  <w:style w:type="paragraph" w:styleId="Encabezado">
    <w:name w:val="header"/>
    <w:basedOn w:val="Normal"/>
    <w:link w:val="EncabezadoCar"/>
    <w:uiPriority w:val="99"/>
    <w:unhideWhenUsed/>
    <w:rsid w:val="001D452B"/>
    <w:pPr>
      <w:tabs>
        <w:tab w:val="center" w:pos="4419"/>
        <w:tab w:val="right" w:pos="8838"/>
      </w:tabs>
    </w:pPr>
  </w:style>
  <w:style w:type="character" w:customStyle="1" w:styleId="EncabezadoCar">
    <w:name w:val="Encabezado Car"/>
    <w:basedOn w:val="Fuentedeprrafopredeter"/>
    <w:link w:val="Encabezado"/>
    <w:uiPriority w:val="99"/>
    <w:rsid w:val="001D452B"/>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1D452B"/>
    <w:pPr>
      <w:tabs>
        <w:tab w:val="center" w:pos="4419"/>
        <w:tab w:val="right" w:pos="8838"/>
      </w:tabs>
    </w:pPr>
  </w:style>
  <w:style w:type="character" w:customStyle="1" w:styleId="PiedepginaCar">
    <w:name w:val="Pie de página Car"/>
    <w:basedOn w:val="Fuentedeprrafopredeter"/>
    <w:link w:val="Piedepgina"/>
    <w:uiPriority w:val="99"/>
    <w:rsid w:val="001D452B"/>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B4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01CED"/>
    <w:pPr>
      <w:spacing w:before="100" w:beforeAutospacing="1" w:after="100" w:afterAutospacing="1"/>
    </w:pPr>
    <w:rPr>
      <w:lang w:eastAsia="es-CR"/>
    </w:rPr>
  </w:style>
  <w:style w:type="character" w:customStyle="1" w:styleId="normaltextrun">
    <w:name w:val="normaltextrun"/>
    <w:basedOn w:val="Fuentedeprrafopredeter"/>
    <w:rsid w:val="00001CED"/>
  </w:style>
  <w:style w:type="character" w:customStyle="1" w:styleId="eop">
    <w:name w:val="eop"/>
    <w:basedOn w:val="Fuentedeprrafopredeter"/>
    <w:rsid w:val="00001CED"/>
  </w:style>
  <w:style w:type="table" w:customStyle="1" w:styleId="TableNormal1">
    <w:name w:val="Table Normal1"/>
    <w:uiPriority w:val="2"/>
    <w:semiHidden/>
    <w:unhideWhenUsed/>
    <w:qFormat/>
    <w:rsid w:val="00E73F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Revisin">
    <w:name w:val="Revision"/>
    <w:hidden/>
    <w:uiPriority w:val="99"/>
    <w:semiHidden/>
    <w:rsid w:val="00315F02"/>
    <w:pPr>
      <w:spacing w:after="0" w:line="240" w:lineRule="auto"/>
    </w:pPr>
    <w:rPr>
      <w:rFonts w:ascii="Times New Roman" w:eastAsia="Times New Roman" w:hAnsi="Times New Roman" w:cs="Times New Roman"/>
      <w:sz w:val="24"/>
      <w:szCs w:val="24"/>
      <w:lang w:eastAsia="es-MX"/>
    </w:rPr>
  </w:style>
  <w:style w:type="paragraph" w:styleId="Asuntodelcomentario">
    <w:name w:val="annotation subject"/>
    <w:basedOn w:val="Textocomentario"/>
    <w:next w:val="Textocomentario"/>
    <w:link w:val="AsuntodelcomentarioCar"/>
    <w:uiPriority w:val="99"/>
    <w:semiHidden/>
    <w:unhideWhenUsed/>
    <w:rsid w:val="00815C05"/>
    <w:pPr>
      <w:spacing w:after="0"/>
    </w:pPr>
    <w:rPr>
      <w:rFonts w:eastAsia="Times New Roman"/>
      <w:b/>
      <w:bCs/>
      <w:lang w:eastAsia="es-MX"/>
    </w:rPr>
  </w:style>
  <w:style w:type="character" w:customStyle="1" w:styleId="AsuntodelcomentarioCar">
    <w:name w:val="Asunto del comentario Car"/>
    <w:basedOn w:val="TextocomentarioCar"/>
    <w:link w:val="Asuntodelcomentario"/>
    <w:uiPriority w:val="99"/>
    <w:semiHidden/>
    <w:rsid w:val="00815C05"/>
    <w:rPr>
      <w:rFonts w:ascii="Times New Roman" w:eastAsia="Times New Roman" w:hAnsi="Times New Roman" w:cs="Times New Roman"/>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86164">
      <w:bodyDiv w:val="1"/>
      <w:marLeft w:val="0"/>
      <w:marRight w:val="0"/>
      <w:marTop w:val="0"/>
      <w:marBottom w:val="0"/>
      <w:divBdr>
        <w:top w:val="none" w:sz="0" w:space="0" w:color="auto"/>
        <w:left w:val="none" w:sz="0" w:space="0" w:color="auto"/>
        <w:bottom w:val="none" w:sz="0" w:space="0" w:color="auto"/>
        <w:right w:val="none" w:sz="0" w:space="0" w:color="auto"/>
      </w:divBdr>
    </w:div>
    <w:div w:id="17123458">
      <w:bodyDiv w:val="1"/>
      <w:marLeft w:val="0"/>
      <w:marRight w:val="0"/>
      <w:marTop w:val="0"/>
      <w:marBottom w:val="0"/>
      <w:divBdr>
        <w:top w:val="none" w:sz="0" w:space="0" w:color="auto"/>
        <w:left w:val="none" w:sz="0" w:space="0" w:color="auto"/>
        <w:bottom w:val="none" w:sz="0" w:space="0" w:color="auto"/>
        <w:right w:val="none" w:sz="0" w:space="0" w:color="auto"/>
      </w:divBdr>
      <w:divsChild>
        <w:div w:id="703605145">
          <w:marLeft w:val="0"/>
          <w:marRight w:val="0"/>
          <w:marTop w:val="0"/>
          <w:marBottom w:val="0"/>
          <w:divBdr>
            <w:top w:val="none" w:sz="0" w:space="0" w:color="auto"/>
            <w:left w:val="none" w:sz="0" w:space="0" w:color="auto"/>
            <w:bottom w:val="none" w:sz="0" w:space="0" w:color="auto"/>
            <w:right w:val="none" w:sz="0" w:space="0" w:color="auto"/>
          </w:divBdr>
        </w:div>
        <w:div w:id="1843618189">
          <w:marLeft w:val="0"/>
          <w:marRight w:val="0"/>
          <w:marTop w:val="0"/>
          <w:marBottom w:val="0"/>
          <w:divBdr>
            <w:top w:val="none" w:sz="0" w:space="0" w:color="auto"/>
            <w:left w:val="none" w:sz="0" w:space="0" w:color="auto"/>
            <w:bottom w:val="none" w:sz="0" w:space="0" w:color="auto"/>
            <w:right w:val="none" w:sz="0" w:space="0" w:color="auto"/>
          </w:divBdr>
        </w:div>
      </w:divsChild>
    </w:div>
    <w:div w:id="19478491">
      <w:bodyDiv w:val="1"/>
      <w:marLeft w:val="0"/>
      <w:marRight w:val="0"/>
      <w:marTop w:val="0"/>
      <w:marBottom w:val="0"/>
      <w:divBdr>
        <w:top w:val="none" w:sz="0" w:space="0" w:color="auto"/>
        <w:left w:val="none" w:sz="0" w:space="0" w:color="auto"/>
        <w:bottom w:val="none" w:sz="0" w:space="0" w:color="auto"/>
        <w:right w:val="none" w:sz="0" w:space="0" w:color="auto"/>
      </w:divBdr>
    </w:div>
    <w:div w:id="24719545">
      <w:bodyDiv w:val="1"/>
      <w:marLeft w:val="0"/>
      <w:marRight w:val="0"/>
      <w:marTop w:val="0"/>
      <w:marBottom w:val="0"/>
      <w:divBdr>
        <w:top w:val="none" w:sz="0" w:space="0" w:color="auto"/>
        <w:left w:val="none" w:sz="0" w:space="0" w:color="auto"/>
        <w:bottom w:val="none" w:sz="0" w:space="0" w:color="auto"/>
        <w:right w:val="none" w:sz="0" w:space="0" w:color="auto"/>
      </w:divBdr>
      <w:divsChild>
        <w:div w:id="414744124">
          <w:marLeft w:val="0"/>
          <w:marRight w:val="0"/>
          <w:marTop w:val="0"/>
          <w:marBottom w:val="0"/>
          <w:divBdr>
            <w:top w:val="none" w:sz="0" w:space="0" w:color="auto"/>
            <w:left w:val="none" w:sz="0" w:space="0" w:color="auto"/>
            <w:bottom w:val="none" w:sz="0" w:space="0" w:color="auto"/>
            <w:right w:val="none" w:sz="0" w:space="0" w:color="auto"/>
          </w:divBdr>
        </w:div>
        <w:div w:id="1582332650">
          <w:marLeft w:val="0"/>
          <w:marRight w:val="0"/>
          <w:marTop w:val="0"/>
          <w:marBottom w:val="0"/>
          <w:divBdr>
            <w:top w:val="none" w:sz="0" w:space="0" w:color="auto"/>
            <w:left w:val="none" w:sz="0" w:space="0" w:color="auto"/>
            <w:bottom w:val="none" w:sz="0" w:space="0" w:color="auto"/>
            <w:right w:val="none" w:sz="0" w:space="0" w:color="auto"/>
          </w:divBdr>
        </w:div>
      </w:divsChild>
    </w:div>
    <w:div w:id="25496301">
      <w:bodyDiv w:val="1"/>
      <w:marLeft w:val="0"/>
      <w:marRight w:val="0"/>
      <w:marTop w:val="0"/>
      <w:marBottom w:val="0"/>
      <w:divBdr>
        <w:top w:val="none" w:sz="0" w:space="0" w:color="auto"/>
        <w:left w:val="none" w:sz="0" w:space="0" w:color="auto"/>
        <w:bottom w:val="none" w:sz="0" w:space="0" w:color="auto"/>
        <w:right w:val="none" w:sz="0" w:space="0" w:color="auto"/>
      </w:divBdr>
    </w:div>
    <w:div w:id="25570854">
      <w:bodyDiv w:val="1"/>
      <w:marLeft w:val="0"/>
      <w:marRight w:val="0"/>
      <w:marTop w:val="0"/>
      <w:marBottom w:val="0"/>
      <w:divBdr>
        <w:top w:val="none" w:sz="0" w:space="0" w:color="auto"/>
        <w:left w:val="none" w:sz="0" w:space="0" w:color="auto"/>
        <w:bottom w:val="none" w:sz="0" w:space="0" w:color="auto"/>
        <w:right w:val="none" w:sz="0" w:space="0" w:color="auto"/>
      </w:divBdr>
    </w:div>
    <w:div w:id="39522414">
      <w:bodyDiv w:val="1"/>
      <w:marLeft w:val="0"/>
      <w:marRight w:val="0"/>
      <w:marTop w:val="0"/>
      <w:marBottom w:val="0"/>
      <w:divBdr>
        <w:top w:val="none" w:sz="0" w:space="0" w:color="auto"/>
        <w:left w:val="none" w:sz="0" w:space="0" w:color="auto"/>
        <w:bottom w:val="none" w:sz="0" w:space="0" w:color="auto"/>
        <w:right w:val="none" w:sz="0" w:space="0" w:color="auto"/>
      </w:divBdr>
    </w:div>
    <w:div w:id="79328307">
      <w:bodyDiv w:val="1"/>
      <w:marLeft w:val="0"/>
      <w:marRight w:val="0"/>
      <w:marTop w:val="0"/>
      <w:marBottom w:val="0"/>
      <w:divBdr>
        <w:top w:val="none" w:sz="0" w:space="0" w:color="auto"/>
        <w:left w:val="none" w:sz="0" w:space="0" w:color="auto"/>
        <w:bottom w:val="none" w:sz="0" w:space="0" w:color="auto"/>
        <w:right w:val="none" w:sz="0" w:space="0" w:color="auto"/>
      </w:divBdr>
    </w:div>
    <w:div w:id="94404342">
      <w:bodyDiv w:val="1"/>
      <w:marLeft w:val="0"/>
      <w:marRight w:val="0"/>
      <w:marTop w:val="0"/>
      <w:marBottom w:val="0"/>
      <w:divBdr>
        <w:top w:val="none" w:sz="0" w:space="0" w:color="auto"/>
        <w:left w:val="none" w:sz="0" w:space="0" w:color="auto"/>
        <w:bottom w:val="none" w:sz="0" w:space="0" w:color="auto"/>
        <w:right w:val="none" w:sz="0" w:space="0" w:color="auto"/>
      </w:divBdr>
    </w:div>
    <w:div w:id="106580163">
      <w:bodyDiv w:val="1"/>
      <w:marLeft w:val="0"/>
      <w:marRight w:val="0"/>
      <w:marTop w:val="0"/>
      <w:marBottom w:val="0"/>
      <w:divBdr>
        <w:top w:val="none" w:sz="0" w:space="0" w:color="auto"/>
        <w:left w:val="none" w:sz="0" w:space="0" w:color="auto"/>
        <w:bottom w:val="none" w:sz="0" w:space="0" w:color="auto"/>
        <w:right w:val="none" w:sz="0" w:space="0" w:color="auto"/>
      </w:divBdr>
      <w:divsChild>
        <w:div w:id="479927603">
          <w:marLeft w:val="0"/>
          <w:marRight w:val="0"/>
          <w:marTop w:val="0"/>
          <w:marBottom w:val="0"/>
          <w:divBdr>
            <w:top w:val="none" w:sz="0" w:space="0" w:color="auto"/>
            <w:left w:val="none" w:sz="0" w:space="0" w:color="auto"/>
            <w:bottom w:val="none" w:sz="0" w:space="0" w:color="auto"/>
            <w:right w:val="none" w:sz="0" w:space="0" w:color="auto"/>
          </w:divBdr>
        </w:div>
        <w:div w:id="1172376747">
          <w:marLeft w:val="0"/>
          <w:marRight w:val="0"/>
          <w:marTop w:val="0"/>
          <w:marBottom w:val="0"/>
          <w:divBdr>
            <w:top w:val="none" w:sz="0" w:space="0" w:color="auto"/>
            <w:left w:val="none" w:sz="0" w:space="0" w:color="auto"/>
            <w:bottom w:val="none" w:sz="0" w:space="0" w:color="auto"/>
            <w:right w:val="none" w:sz="0" w:space="0" w:color="auto"/>
          </w:divBdr>
        </w:div>
      </w:divsChild>
    </w:div>
    <w:div w:id="125121605">
      <w:bodyDiv w:val="1"/>
      <w:marLeft w:val="0"/>
      <w:marRight w:val="0"/>
      <w:marTop w:val="0"/>
      <w:marBottom w:val="0"/>
      <w:divBdr>
        <w:top w:val="none" w:sz="0" w:space="0" w:color="auto"/>
        <w:left w:val="none" w:sz="0" w:space="0" w:color="auto"/>
        <w:bottom w:val="none" w:sz="0" w:space="0" w:color="auto"/>
        <w:right w:val="none" w:sz="0" w:space="0" w:color="auto"/>
      </w:divBdr>
    </w:div>
    <w:div w:id="138308339">
      <w:bodyDiv w:val="1"/>
      <w:marLeft w:val="0"/>
      <w:marRight w:val="0"/>
      <w:marTop w:val="0"/>
      <w:marBottom w:val="0"/>
      <w:divBdr>
        <w:top w:val="none" w:sz="0" w:space="0" w:color="auto"/>
        <w:left w:val="none" w:sz="0" w:space="0" w:color="auto"/>
        <w:bottom w:val="none" w:sz="0" w:space="0" w:color="auto"/>
        <w:right w:val="none" w:sz="0" w:space="0" w:color="auto"/>
      </w:divBdr>
    </w:div>
    <w:div w:id="166528183">
      <w:bodyDiv w:val="1"/>
      <w:marLeft w:val="0"/>
      <w:marRight w:val="0"/>
      <w:marTop w:val="0"/>
      <w:marBottom w:val="0"/>
      <w:divBdr>
        <w:top w:val="none" w:sz="0" w:space="0" w:color="auto"/>
        <w:left w:val="none" w:sz="0" w:space="0" w:color="auto"/>
        <w:bottom w:val="none" w:sz="0" w:space="0" w:color="auto"/>
        <w:right w:val="none" w:sz="0" w:space="0" w:color="auto"/>
      </w:divBdr>
    </w:div>
    <w:div w:id="178199282">
      <w:bodyDiv w:val="1"/>
      <w:marLeft w:val="0"/>
      <w:marRight w:val="0"/>
      <w:marTop w:val="0"/>
      <w:marBottom w:val="0"/>
      <w:divBdr>
        <w:top w:val="none" w:sz="0" w:space="0" w:color="auto"/>
        <w:left w:val="none" w:sz="0" w:space="0" w:color="auto"/>
        <w:bottom w:val="none" w:sz="0" w:space="0" w:color="auto"/>
        <w:right w:val="none" w:sz="0" w:space="0" w:color="auto"/>
      </w:divBdr>
    </w:div>
    <w:div w:id="178277218">
      <w:bodyDiv w:val="1"/>
      <w:marLeft w:val="0"/>
      <w:marRight w:val="0"/>
      <w:marTop w:val="0"/>
      <w:marBottom w:val="0"/>
      <w:divBdr>
        <w:top w:val="none" w:sz="0" w:space="0" w:color="auto"/>
        <w:left w:val="none" w:sz="0" w:space="0" w:color="auto"/>
        <w:bottom w:val="none" w:sz="0" w:space="0" w:color="auto"/>
        <w:right w:val="none" w:sz="0" w:space="0" w:color="auto"/>
      </w:divBdr>
      <w:divsChild>
        <w:div w:id="54863528">
          <w:marLeft w:val="0"/>
          <w:marRight w:val="0"/>
          <w:marTop w:val="0"/>
          <w:marBottom w:val="0"/>
          <w:divBdr>
            <w:top w:val="none" w:sz="0" w:space="0" w:color="auto"/>
            <w:left w:val="none" w:sz="0" w:space="0" w:color="auto"/>
            <w:bottom w:val="none" w:sz="0" w:space="0" w:color="auto"/>
            <w:right w:val="none" w:sz="0" w:space="0" w:color="auto"/>
          </w:divBdr>
        </w:div>
        <w:div w:id="633756004">
          <w:marLeft w:val="0"/>
          <w:marRight w:val="0"/>
          <w:marTop w:val="0"/>
          <w:marBottom w:val="0"/>
          <w:divBdr>
            <w:top w:val="none" w:sz="0" w:space="0" w:color="auto"/>
            <w:left w:val="none" w:sz="0" w:space="0" w:color="auto"/>
            <w:bottom w:val="none" w:sz="0" w:space="0" w:color="auto"/>
            <w:right w:val="none" w:sz="0" w:space="0" w:color="auto"/>
          </w:divBdr>
        </w:div>
      </w:divsChild>
    </w:div>
    <w:div w:id="218443623">
      <w:bodyDiv w:val="1"/>
      <w:marLeft w:val="0"/>
      <w:marRight w:val="0"/>
      <w:marTop w:val="0"/>
      <w:marBottom w:val="0"/>
      <w:divBdr>
        <w:top w:val="none" w:sz="0" w:space="0" w:color="auto"/>
        <w:left w:val="none" w:sz="0" w:space="0" w:color="auto"/>
        <w:bottom w:val="none" w:sz="0" w:space="0" w:color="auto"/>
        <w:right w:val="none" w:sz="0" w:space="0" w:color="auto"/>
      </w:divBdr>
      <w:divsChild>
        <w:div w:id="1080831412">
          <w:marLeft w:val="0"/>
          <w:marRight w:val="0"/>
          <w:marTop w:val="0"/>
          <w:marBottom w:val="0"/>
          <w:divBdr>
            <w:top w:val="none" w:sz="0" w:space="0" w:color="auto"/>
            <w:left w:val="none" w:sz="0" w:space="0" w:color="auto"/>
            <w:bottom w:val="none" w:sz="0" w:space="0" w:color="auto"/>
            <w:right w:val="none" w:sz="0" w:space="0" w:color="auto"/>
          </w:divBdr>
        </w:div>
        <w:div w:id="1859849174">
          <w:marLeft w:val="0"/>
          <w:marRight w:val="0"/>
          <w:marTop w:val="0"/>
          <w:marBottom w:val="0"/>
          <w:divBdr>
            <w:top w:val="none" w:sz="0" w:space="0" w:color="auto"/>
            <w:left w:val="none" w:sz="0" w:space="0" w:color="auto"/>
            <w:bottom w:val="none" w:sz="0" w:space="0" w:color="auto"/>
            <w:right w:val="none" w:sz="0" w:space="0" w:color="auto"/>
          </w:divBdr>
        </w:div>
      </w:divsChild>
    </w:div>
    <w:div w:id="222915455">
      <w:bodyDiv w:val="1"/>
      <w:marLeft w:val="0"/>
      <w:marRight w:val="0"/>
      <w:marTop w:val="0"/>
      <w:marBottom w:val="0"/>
      <w:divBdr>
        <w:top w:val="none" w:sz="0" w:space="0" w:color="auto"/>
        <w:left w:val="none" w:sz="0" w:space="0" w:color="auto"/>
        <w:bottom w:val="none" w:sz="0" w:space="0" w:color="auto"/>
        <w:right w:val="none" w:sz="0" w:space="0" w:color="auto"/>
      </w:divBdr>
    </w:div>
    <w:div w:id="281231391">
      <w:bodyDiv w:val="1"/>
      <w:marLeft w:val="0"/>
      <w:marRight w:val="0"/>
      <w:marTop w:val="0"/>
      <w:marBottom w:val="0"/>
      <w:divBdr>
        <w:top w:val="none" w:sz="0" w:space="0" w:color="auto"/>
        <w:left w:val="none" w:sz="0" w:space="0" w:color="auto"/>
        <w:bottom w:val="none" w:sz="0" w:space="0" w:color="auto"/>
        <w:right w:val="none" w:sz="0" w:space="0" w:color="auto"/>
      </w:divBdr>
    </w:div>
    <w:div w:id="282276463">
      <w:bodyDiv w:val="1"/>
      <w:marLeft w:val="0"/>
      <w:marRight w:val="0"/>
      <w:marTop w:val="0"/>
      <w:marBottom w:val="0"/>
      <w:divBdr>
        <w:top w:val="none" w:sz="0" w:space="0" w:color="auto"/>
        <w:left w:val="none" w:sz="0" w:space="0" w:color="auto"/>
        <w:bottom w:val="none" w:sz="0" w:space="0" w:color="auto"/>
        <w:right w:val="none" w:sz="0" w:space="0" w:color="auto"/>
      </w:divBdr>
    </w:div>
    <w:div w:id="306403059">
      <w:bodyDiv w:val="1"/>
      <w:marLeft w:val="0"/>
      <w:marRight w:val="0"/>
      <w:marTop w:val="0"/>
      <w:marBottom w:val="0"/>
      <w:divBdr>
        <w:top w:val="none" w:sz="0" w:space="0" w:color="auto"/>
        <w:left w:val="none" w:sz="0" w:space="0" w:color="auto"/>
        <w:bottom w:val="none" w:sz="0" w:space="0" w:color="auto"/>
        <w:right w:val="none" w:sz="0" w:space="0" w:color="auto"/>
      </w:divBdr>
      <w:divsChild>
        <w:div w:id="1390106133">
          <w:marLeft w:val="0"/>
          <w:marRight w:val="0"/>
          <w:marTop w:val="0"/>
          <w:marBottom w:val="0"/>
          <w:divBdr>
            <w:top w:val="none" w:sz="0" w:space="0" w:color="auto"/>
            <w:left w:val="none" w:sz="0" w:space="0" w:color="auto"/>
            <w:bottom w:val="none" w:sz="0" w:space="0" w:color="auto"/>
            <w:right w:val="none" w:sz="0" w:space="0" w:color="auto"/>
          </w:divBdr>
        </w:div>
        <w:div w:id="2137603270">
          <w:marLeft w:val="0"/>
          <w:marRight w:val="0"/>
          <w:marTop w:val="0"/>
          <w:marBottom w:val="0"/>
          <w:divBdr>
            <w:top w:val="none" w:sz="0" w:space="0" w:color="auto"/>
            <w:left w:val="none" w:sz="0" w:space="0" w:color="auto"/>
            <w:bottom w:val="none" w:sz="0" w:space="0" w:color="auto"/>
            <w:right w:val="none" w:sz="0" w:space="0" w:color="auto"/>
          </w:divBdr>
        </w:div>
      </w:divsChild>
    </w:div>
    <w:div w:id="320668955">
      <w:bodyDiv w:val="1"/>
      <w:marLeft w:val="0"/>
      <w:marRight w:val="0"/>
      <w:marTop w:val="0"/>
      <w:marBottom w:val="0"/>
      <w:divBdr>
        <w:top w:val="none" w:sz="0" w:space="0" w:color="auto"/>
        <w:left w:val="none" w:sz="0" w:space="0" w:color="auto"/>
        <w:bottom w:val="none" w:sz="0" w:space="0" w:color="auto"/>
        <w:right w:val="none" w:sz="0" w:space="0" w:color="auto"/>
      </w:divBdr>
      <w:divsChild>
        <w:div w:id="339115638">
          <w:marLeft w:val="737"/>
          <w:marRight w:val="851"/>
          <w:marTop w:val="0"/>
          <w:marBottom w:val="0"/>
          <w:divBdr>
            <w:top w:val="none" w:sz="0" w:space="0" w:color="auto"/>
            <w:left w:val="none" w:sz="0" w:space="0" w:color="auto"/>
            <w:bottom w:val="none" w:sz="0" w:space="0" w:color="auto"/>
            <w:right w:val="none" w:sz="0" w:space="0" w:color="auto"/>
          </w:divBdr>
        </w:div>
        <w:div w:id="727535787">
          <w:marLeft w:val="737"/>
          <w:marRight w:val="851"/>
          <w:marTop w:val="0"/>
          <w:marBottom w:val="0"/>
          <w:divBdr>
            <w:top w:val="none" w:sz="0" w:space="0" w:color="auto"/>
            <w:left w:val="none" w:sz="0" w:space="0" w:color="auto"/>
            <w:bottom w:val="none" w:sz="0" w:space="0" w:color="auto"/>
            <w:right w:val="none" w:sz="0" w:space="0" w:color="auto"/>
          </w:divBdr>
        </w:div>
        <w:div w:id="1301378430">
          <w:marLeft w:val="737"/>
          <w:marRight w:val="851"/>
          <w:marTop w:val="0"/>
          <w:marBottom w:val="0"/>
          <w:divBdr>
            <w:top w:val="none" w:sz="0" w:space="0" w:color="auto"/>
            <w:left w:val="none" w:sz="0" w:space="0" w:color="auto"/>
            <w:bottom w:val="none" w:sz="0" w:space="0" w:color="auto"/>
            <w:right w:val="none" w:sz="0" w:space="0" w:color="auto"/>
          </w:divBdr>
        </w:div>
        <w:div w:id="1733968641">
          <w:marLeft w:val="737"/>
          <w:marRight w:val="851"/>
          <w:marTop w:val="0"/>
          <w:marBottom w:val="0"/>
          <w:divBdr>
            <w:top w:val="none" w:sz="0" w:space="0" w:color="auto"/>
            <w:left w:val="none" w:sz="0" w:space="0" w:color="auto"/>
            <w:bottom w:val="none" w:sz="0" w:space="0" w:color="auto"/>
            <w:right w:val="none" w:sz="0" w:space="0" w:color="auto"/>
          </w:divBdr>
        </w:div>
      </w:divsChild>
    </w:div>
    <w:div w:id="367997930">
      <w:bodyDiv w:val="1"/>
      <w:marLeft w:val="0"/>
      <w:marRight w:val="0"/>
      <w:marTop w:val="0"/>
      <w:marBottom w:val="0"/>
      <w:divBdr>
        <w:top w:val="none" w:sz="0" w:space="0" w:color="auto"/>
        <w:left w:val="none" w:sz="0" w:space="0" w:color="auto"/>
        <w:bottom w:val="none" w:sz="0" w:space="0" w:color="auto"/>
        <w:right w:val="none" w:sz="0" w:space="0" w:color="auto"/>
      </w:divBdr>
    </w:div>
    <w:div w:id="373627786">
      <w:bodyDiv w:val="1"/>
      <w:marLeft w:val="0"/>
      <w:marRight w:val="0"/>
      <w:marTop w:val="0"/>
      <w:marBottom w:val="0"/>
      <w:divBdr>
        <w:top w:val="none" w:sz="0" w:space="0" w:color="auto"/>
        <w:left w:val="none" w:sz="0" w:space="0" w:color="auto"/>
        <w:bottom w:val="none" w:sz="0" w:space="0" w:color="auto"/>
        <w:right w:val="none" w:sz="0" w:space="0" w:color="auto"/>
      </w:divBdr>
      <w:divsChild>
        <w:div w:id="363288170">
          <w:marLeft w:val="0"/>
          <w:marRight w:val="0"/>
          <w:marTop w:val="0"/>
          <w:marBottom w:val="0"/>
          <w:divBdr>
            <w:top w:val="none" w:sz="0" w:space="0" w:color="auto"/>
            <w:left w:val="none" w:sz="0" w:space="0" w:color="auto"/>
            <w:bottom w:val="none" w:sz="0" w:space="0" w:color="auto"/>
            <w:right w:val="none" w:sz="0" w:space="0" w:color="auto"/>
          </w:divBdr>
        </w:div>
        <w:div w:id="404108493">
          <w:marLeft w:val="0"/>
          <w:marRight w:val="0"/>
          <w:marTop w:val="0"/>
          <w:marBottom w:val="0"/>
          <w:divBdr>
            <w:top w:val="none" w:sz="0" w:space="0" w:color="auto"/>
            <w:left w:val="none" w:sz="0" w:space="0" w:color="auto"/>
            <w:bottom w:val="none" w:sz="0" w:space="0" w:color="auto"/>
            <w:right w:val="none" w:sz="0" w:space="0" w:color="auto"/>
          </w:divBdr>
        </w:div>
        <w:div w:id="646011673">
          <w:marLeft w:val="0"/>
          <w:marRight w:val="0"/>
          <w:marTop w:val="0"/>
          <w:marBottom w:val="0"/>
          <w:divBdr>
            <w:top w:val="none" w:sz="0" w:space="0" w:color="auto"/>
            <w:left w:val="none" w:sz="0" w:space="0" w:color="auto"/>
            <w:bottom w:val="none" w:sz="0" w:space="0" w:color="auto"/>
            <w:right w:val="none" w:sz="0" w:space="0" w:color="auto"/>
          </w:divBdr>
        </w:div>
        <w:div w:id="994339758">
          <w:marLeft w:val="0"/>
          <w:marRight w:val="0"/>
          <w:marTop w:val="0"/>
          <w:marBottom w:val="0"/>
          <w:divBdr>
            <w:top w:val="none" w:sz="0" w:space="0" w:color="auto"/>
            <w:left w:val="none" w:sz="0" w:space="0" w:color="auto"/>
            <w:bottom w:val="none" w:sz="0" w:space="0" w:color="auto"/>
            <w:right w:val="none" w:sz="0" w:space="0" w:color="auto"/>
          </w:divBdr>
        </w:div>
        <w:div w:id="1293557528">
          <w:marLeft w:val="0"/>
          <w:marRight w:val="0"/>
          <w:marTop w:val="0"/>
          <w:marBottom w:val="0"/>
          <w:divBdr>
            <w:top w:val="none" w:sz="0" w:space="0" w:color="auto"/>
            <w:left w:val="none" w:sz="0" w:space="0" w:color="auto"/>
            <w:bottom w:val="none" w:sz="0" w:space="0" w:color="auto"/>
            <w:right w:val="none" w:sz="0" w:space="0" w:color="auto"/>
          </w:divBdr>
        </w:div>
        <w:div w:id="1769040660">
          <w:marLeft w:val="0"/>
          <w:marRight w:val="0"/>
          <w:marTop w:val="0"/>
          <w:marBottom w:val="0"/>
          <w:divBdr>
            <w:top w:val="none" w:sz="0" w:space="0" w:color="auto"/>
            <w:left w:val="none" w:sz="0" w:space="0" w:color="auto"/>
            <w:bottom w:val="none" w:sz="0" w:space="0" w:color="auto"/>
            <w:right w:val="none" w:sz="0" w:space="0" w:color="auto"/>
          </w:divBdr>
        </w:div>
        <w:div w:id="2033064537">
          <w:marLeft w:val="0"/>
          <w:marRight w:val="0"/>
          <w:marTop w:val="0"/>
          <w:marBottom w:val="0"/>
          <w:divBdr>
            <w:top w:val="none" w:sz="0" w:space="0" w:color="auto"/>
            <w:left w:val="none" w:sz="0" w:space="0" w:color="auto"/>
            <w:bottom w:val="none" w:sz="0" w:space="0" w:color="auto"/>
            <w:right w:val="none" w:sz="0" w:space="0" w:color="auto"/>
          </w:divBdr>
        </w:div>
        <w:div w:id="2129080577">
          <w:marLeft w:val="0"/>
          <w:marRight w:val="0"/>
          <w:marTop w:val="0"/>
          <w:marBottom w:val="0"/>
          <w:divBdr>
            <w:top w:val="none" w:sz="0" w:space="0" w:color="auto"/>
            <w:left w:val="none" w:sz="0" w:space="0" w:color="auto"/>
            <w:bottom w:val="none" w:sz="0" w:space="0" w:color="auto"/>
            <w:right w:val="none" w:sz="0" w:space="0" w:color="auto"/>
          </w:divBdr>
        </w:div>
        <w:div w:id="2138184720">
          <w:marLeft w:val="0"/>
          <w:marRight w:val="0"/>
          <w:marTop w:val="0"/>
          <w:marBottom w:val="0"/>
          <w:divBdr>
            <w:top w:val="none" w:sz="0" w:space="0" w:color="auto"/>
            <w:left w:val="none" w:sz="0" w:space="0" w:color="auto"/>
            <w:bottom w:val="none" w:sz="0" w:space="0" w:color="auto"/>
            <w:right w:val="none" w:sz="0" w:space="0" w:color="auto"/>
          </w:divBdr>
        </w:div>
      </w:divsChild>
    </w:div>
    <w:div w:id="385835685">
      <w:bodyDiv w:val="1"/>
      <w:marLeft w:val="0"/>
      <w:marRight w:val="0"/>
      <w:marTop w:val="0"/>
      <w:marBottom w:val="0"/>
      <w:divBdr>
        <w:top w:val="none" w:sz="0" w:space="0" w:color="auto"/>
        <w:left w:val="none" w:sz="0" w:space="0" w:color="auto"/>
        <w:bottom w:val="none" w:sz="0" w:space="0" w:color="auto"/>
        <w:right w:val="none" w:sz="0" w:space="0" w:color="auto"/>
      </w:divBdr>
      <w:divsChild>
        <w:div w:id="34090422">
          <w:marLeft w:val="0"/>
          <w:marRight w:val="0"/>
          <w:marTop w:val="0"/>
          <w:marBottom w:val="0"/>
          <w:divBdr>
            <w:top w:val="none" w:sz="0" w:space="0" w:color="auto"/>
            <w:left w:val="none" w:sz="0" w:space="0" w:color="auto"/>
            <w:bottom w:val="none" w:sz="0" w:space="0" w:color="auto"/>
            <w:right w:val="none" w:sz="0" w:space="0" w:color="auto"/>
          </w:divBdr>
        </w:div>
        <w:div w:id="609896331">
          <w:marLeft w:val="0"/>
          <w:marRight w:val="0"/>
          <w:marTop w:val="0"/>
          <w:marBottom w:val="0"/>
          <w:divBdr>
            <w:top w:val="none" w:sz="0" w:space="0" w:color="auto"/>
            <w:left w:val="none" w:sz="0" w:space="0" w:color="auto"/>
            <w:bottom w:val="none" w:sz="0" w:space="0" w:color="auto"/>
            <w:right w:val="none" w:sz="0" w:space="0" w:color="auto"/>
          </w:divBdr>
        </w:div>
        <w:div w:id="1069697019">
          <w:marLeft w:val="0"/>
          <w:marRight w:val="0"/>
          <w:marTop w:val="0"/>
          <w:marBottom w:val="0"/>
          <w:divBdr>
            <w:top w:val="none" w:sz="0" w:space="0" w:color="auto"/>
            <w:left w:val="none" w:sz="0" w:space="0" w:color="auto"/>
            <w:bottom w:val="none" w:sz="0" w:space="0" w:color="auto"/>
            <w:right w:val="none" w:sz="0" w:space="0" w:color="auto"/>
          </w:divBdr>
        </w:div>
      </w:divsChild>
    </w:div>
    <w:div w:id="417672144">
      <w:bodyDiv w:val="1"/>
      <w:marLeft w:val="0"/>
      <w:marRight w:val="0"/>
      <w:marTop w:val="0"/>
      <w:marBottom w:val="0"/>
      <w:divBdr>
        <w:top w:val="none" w:sz="0" w:space="0" w:color="auto"/>
        <w:left w:val="none" w:sz="0" w:space="0" w:color="auto"/>
        <w:bottom w:val="none" w:sz="0" w:space="0" w:color="auto"/>
        <w:right w:val="none" w:sz="0" w:space="0" w:color="auto"/>
      </w:divBdr>
    </w:div>
    <w:div w:id="431047175">
      <w:bodyDiv w:val="1"/>
      <w:marLeft w:val="0"/>
      <w:marRight w:val="0"/>
      <w:marTop w:val="0"/>
      <w:marBottom w:val="0"/>
      <w:divBdr>
        <w:top w:val="none" w:sz="0" w:space="0" w:color="auto"/>
        <w:left w:val="none" w:sz="0" w:space="0" w:color="auto"/>
        <w:bottom w:val="none" w:sz="0" w:space="0" w:color="auto"/>
        <w:right w:val="none" w:sz="0" w:space="0" w:color="auto"/>
      </w:divBdr>
      <w:divsChild>
        <w:div w:id="656885352">
          <w:marLeft w:val="0"/>
          <w:marRight w:val="0"/>
          <w:marTop w:val="0"/>
          <w:marBottom w:val="0"/>
          <w:divBdr>
            <w:top w:val="none" w:sz="0" w:space="0" w:color="auto"/>
            <w:left w:val="none" w:sz="0" w:space="0" w:color="auto"/>
            <w:bottom w:val="none" w:sz="0" w:space="0" w:color="auto"/>
            <w:right w:val="none" w:sz="0" w:space="0" w:color="auto"/>
          </w:divBdr>
        </w:div>
        <w:div w:id="1648391110">
          <w:marLeft w:val="0"/>
          <w:marRight w:val="0"/>
          <w:marTop w:val="0"/>
          <w:marBottom w:val="0"/>
          <w:divBdr>
            <w:top w:val="none" w:sz="0" w:space="0" w:color="auto"/>
            <w:left w:val="none" w:sz="0" w:space="0" w:color="auto"/>
            <w:bottom w:val="none" w:sz="0" w:space="0" w:color="auto"/>
            <w:right w:val="none" w:sz="0" w:space="0" w:color="auto"/>
          </w:divBdr>
        </w:div>
      </w:divsChild>
    </w:div>
    <w:div w:id="431560428">
      <w:bodyDiv w:val="1"/>
      <w:marLeft w:val="0"/>
      <w:marRight w:val="0"/>
      <w:marTop w:val="0"/>
      <w:marBottom w:val="0"/>
      <w:divBdr>
        <w:top w:val="none" w:sz="0" w:space="0" w:color="auto"/>
        <w:left w:val="none" w:sz="0" w:space="0" w:color="auto"/>
        <w:bottom w:val="none" w:sz="0" w:space="0" w:color="auto"/>
        <w:right w:val="none" w:sz="0" w:space="0" w:color="auto"/>
      </w:divBdr>
    </w:div>
    <w:div w:id="432213582">
      <w:bodyDiv w:val="1"/>
      <w:marLeft w:val="0"/>
      <w:marRight w:val="0"/>
      <w:marTop w:val="0"/>
      <w:marBottom w:val="0"/>
      <w:divBdr>
        <w:top w:val="none" w:sz="0" w:space="0" w:color="auto"/>
        <w:left w:val="none" w:sz="0" w:space="0" w:color="auto"/>
        <w:bottom w:val="none" w:sz="0" w:space="0" w:color="auto"/>
        <w:right w:val="none" w:sz="0" w:space="0" w:color="auto"/>
      </w:divBdr>
    </w:div>
    <w:div w:id="438333544">
      <w:bodyDiv w:val="1"/>
      <w:marLeft w:val="0"/>
      <w:marRight w:val="0"/>
      <w:marTop w:val="0"/>
      <w:marBottom w:val="0"/>
      <w:divBdr>
        <w:top w:val="none" w:sz="0" w:space="0" w:color="auto"/>
        <w:left w:val="none" w:sz="0" w:space="0" w:color="auto"/>
        <w:bottom w:val="none" w:sz="0" w:space="0" w:color="auto"/>
        <w:right w:val="none" w:sz="0" w:space="0" w:color="auto"/>
      </w:divBdr>
    </w:div>
    <w:div w:id="445273473">
      <w:bodyDiv w:val="1"/>
      <w:marLeft w:val="0"/>
      <w:marRight w:val="0"/>
      <w:marTop w:val="0"/>
      <w:marBottom w:val="0"/>
      <w:divBdr>
        <w:top w:val="none" w:sz="0" w:space="0" w:color="auto"/>
        <w:left w:val="none" w:sz="0" w:space="0" w:color="auto"/>
        <w:bottom w:val="none" w:sz="0" w:space="0" w:color="auto"/>
        <w:right w:val="none" w:sz="0" w:space="0" w:color="auto"/>
      </w:divBdr>
      <w:divsChild>
        <w:div w:id="88309132">
          <w:marLeft w:val="0"/>
          <w:marRight w:val="0"/>
          <w:marTop w:val="0"/>
          <w:marBottom w:val="0"/>
          <w:divBdr>
            <w:top w:val="none" w:sz="0" w:space="0" w:color="auto"/>
            <w:left w:val="none" w:sz="0" w:space="0" w:color="auto"/>
            <w:bottom w:val="none" w:sz="0" w:space="0" w:color="auto"/>
            <w:right w:val="none" w:sz="0" w:space="0" w:color="auto"/>
          </w:divBdr>
        </w:div>
        <w:div w:id="926155326">
          <w:marLeft w:val="0"/>
          <w:marRight w:val="0"/>
          <w:marTop w:val="0"/>
          <w:marBottom w:val="0"/>
          <w:divBdr>
            <w:top w:val="none" w:sz="0" w:space="0" w:color="auto"/>
            <w:left w:val="none" w:sz="0" w:space="0" w:color="auto"/>
            <w:bottom w:val="none" w:sz="0" w:space="0" w:color="auto"/>
            <w:right w:val="none" w:sz="0" w:space="0" w:color="auto"/>
          </w:divBdr>
        </w:div>
      </w:divsChild>
    </w:div>
    <w:div w:id="448205909">
      <w:bodyDiv w:val="1"/>
      <w:marLeft w:val="0"/>
      <w:marRight w:val="0"/>
      <w:marTop w:val="0"/>
      <w:marBottom w:val="0"/>
      <w:divBdr>
        <w:top w:val="none" w:sz="0" w:space="0" w:color="auto"/>
        <w:left w:val="none" w:sz="0" w:space="0" w:color="auto"/>
        <w:bottom w:val="none" w:sz="0" w:space="0" w:color="auto"/>
        <w:right w:val="none" w:sz="0" w:space="0" w:color="auto"/>
      </w:divBdr>
    </w:div>
    <w:div w:id="464933978">
      <w:bodyDiv w:val="1"/>
      <w:marLeft w:val="0"/>
      <w:marRight w:val="0"/>
      <w:marTop w:val="0"/>
      <w:marBottom w:val="0"/>
      <w:divBdr>
        <w:top w:val="none" w:sz="0" w:space="0" w:color="auto"/>
        <w:left w:val="none" w:sz="0" w:space="0" w:color="auto"/>
        <w:bottom w:val="none" w:sz="0" w:space="0" w:color="auto"/>
        <w:right w:val="none" w:sz="0" w:space="0" w:color="auto"/>
      </w:divBdr>
    </w:div>
    <w:div w:id="475295996">
      <w:bodyDiv w:val="1"/>
      <w:marLeft w:val="0"/>
      <w:marRight w:val="0"/>
      <w:marTop w:val="0"/>
      <w:marBottom w:val="0"/>
      <w:divBdr>
        <w:top w:val="none" w:sz="0" w:space="0" w:color="auto"/>
        <w:left w:val="none" w:sz="0" w:space="0" w:color="auto"/>
        <w:bottom w:val="none" w:sz="0" w:space="0" w:color="auto"/>
        <w:right w:val="none" w:sz="0" w:space="0" w:color="auto"/>
      </w:divBdr>
    </w:div>
    <w:div w:id="480275982">
      <w:bodyDiv w:val="1"/>
      <w:marLeft w:val="0"/>
      <w:marRight w:val="0"/>
      <w:marTop w:val="0"/>
      <w:marBottom w:val="0"/>
      <w:divBdr>
        <w:top w:val="none" w:sz="0" w:space="0" w:color="auto"/>
        <w:left w:val="none" w:sz="0" w:space="0" w:color="auto"/>
        <w:bottom w:val="none" w:sz="0" w:space="0" w:color="auto"/>
        <w:right w:val="none" w:sz="0" w:space="0" w:color="auto"/>
      </w:divBdr>
    </w:div>
    <w:div w:id="509174207">
      <w:bodyDiv w:val="1"/>
      <w:marLeft w:val="0"/>
      <w:marRight w:val="0"/>
      <w:marTop w:val="0"/>
      <w:marBottom w:val="0"/>
      <w:divBdr>
        <w:top w:val="none" w:sz="0" w:space="0" w:color="auto"/>
        <w:left w:val="none" w:sz="0" w:space="0" w:color="auto"/>
        <w:bottom w:val="none" w:sz="0" w:space="0" w:color="auto"/>
        <w:right w:val="none" w:sz="0" w:space="0" w:color="auto"/>
      </w:divBdr>
      <w:divsChild>
        <w:div w:id="397900558">
          <w:marLeft w:val="0"/>
          <w:marRight w:val="0"/>
          <w:marTop w:val="0"/>
          <w:marBottom w:val="0"/>
          <w:divBdr>
            <w:top w:val="none" w:sz="0" w:space="0" w:color="auto"/>
            <w:left w:val="none" w:sz="0" w:space="0" w:color="auto"/>
            <w:bottom w:val="none" w:sz="0" w:space="0" w:color="auto"/>
            <w:right w:val="none" w:sz="0" w:space="0" w:color="auto"/>
          </w:divBdr>
        </w:div>
        <w:div w:id="1845054100">
          <w:marLeft w:val="0"/>
          <w:marRight w:val="0"/>
          <w:marTop w:val="0"/>
          <w:marBottom w:val="0"/>
          <w:divBdr>
            <w:top w:val="none" w:sz="0" w:space="0" w:color="auto"/>
            <w:left w:val="none" w:sz="0" w:space="0" w:color="auto"/>
            <w:bottom w:val="none" w:sz="0" w:space="0" w:color="auto"/>
            <w:right w:val="none" w:sz="0" w:space="0" w:color="auto"/>
          </w:divBdr>
        </w:div>
      </w:divsChild>
    </w:div>
    <w:div w:id="511994874">
      <w:bodyDiv w:val="1"/>
      <w:marLeft w:val="0"/>
      <w:marRight w:val="0"/>
      <w:marTop w:val="0"/>
      <w:marBottom w:val="0"/>
      <w:divBdr>
        <w:top w:val="none" w:sz="0" w:space="0" w:color="auto"/>
        <w:left w:val="none" w:sz="0" w:space="0" w:color="auto"/>
        <w:bottom w:val="none" w:sz="0" w:space="0" w:color="auto"/>
        <w:right w:val="none" w:sz="0" w:space="0" w:color="auto"/>
      </w:divBdr>
      <w:divsChild>
        <w:div w:id="1355840685">
          <w:marLeft w:val="0"/>
          <w:marRight w:val="0"/>
          <w:marTop w:val="0"/>
          <w:marBottom w:val="0"/>
          <w:divBdr>
            <w:top w:val="none" w:sz="0" w:space="0" w:color="auto"/>
            <w:left w:val="none" w:sz="0" w:space="0" w:color="auto"/>
            <w:bottom w:val="none" w:sz="0" w:space="0" w:color="auto"/>
            <w:right w:val="none" w:sz="0" w:space="0" w:color="auto"/>
          </w:divBdr>
        </w:div>
        <w:div w:id="1387415036">
          <w:marLeft w:val="0"/>
          <w:marRight w:val="0"/>
          <w:marTop w:val="0"/>
          <w:marBottom w:val="0"/>
          <w:divBdr>
            <w:top w:val="none" w:sz="0" w:space="0" w:color="auto"/>
            <w:left w:val="none" w:sz="0" w:space="0" w:color="auto"/>
            <w:bottom w:val="none" w:sz="0" w:space="0" w:color="auto"/>
            <w:right w:val="none" w:sz="0" w:space="0" w:color="auto"/>
          </w:divBdr>
        </w:div>
        <w:div w:id="2056348718">
          <w:marLeft w:val="0"/>
          <w:marRight w:val="0"/>
          <w:marTop w:val="0"/>
          <w:marBottom w:val="0"/>
          <w:divBdr>
            <w:top w:val="none" w:sz="0" w:space="0" w:color="auto"/>
            <w:left w:val="none" w:sz="0" w:space="0" w:color="auto"/>
            <w:bottom w:val="none" w:sz="0" w:space="0" w:color="auto"/>
            <w:right w:val="none" w:sz="0" w:space="0" w:color="auto"/>
          </w:divBdr>
        </w:div>
      </w:divsChild>
    </w:div>
    <w:div w:id="523983813">
      <w:bodyDiv w:val="1"/>
      <w:marLeft w:val="0"/>
      <w:marRight w:val="0"/>
      <w:marTop w:val="0"/>
      <w:marBottom w:val="0"/>
      <w:divBdr>
        <w:top w:val="none" w:sz="0" w:space="0" w:color="auto"/>
        <w:left w:val="none" w:sz="0" w:space="0" w:color="auto"/>
        <w:bottom w:val="none" w:sz="0" w:space="0" w:color="auto"/>
        <w:right w:val="none" w:sz="0" w:space="0" w:color="auto"/>
      </w:divBdr>
    </w:div>
    <w:div w:id="585044081">
      <w:bodyDiv w:val="1"/>
      <w:marLeft w:val="0"/>
      <w:marRight w:val="0"/>
      <w:marTop w:val="0"/>
      <w:marBottom w:val="0"/>
      <w:divBdr>
        <w:top w:val="none" w:sz="0" w:space="0" w:color="auto"/>
        <w:left w:val="none" w:sz="0" w:space="0" w:color="auto"/>
        <w:bottom w:val="none" w:sz="0" w:space="0" w:color="auto"/>
        <w:right w:val="none" w:sz="0" w:space="0" w:color="auto"/>
      </w:divBdr>
    </w:div>
    <w:div w:id="590164457">
      <w:bodyDiv w:val="1"/>
      <w:marLeft w:val="0"/>
      <w:marRight w:val="0"/>
      <w:marTop w:val="0"/>
      <w:marBottom w:val="0"/>
      <w:divBdr>
        <w:top w:val="none" w:sz="0" w:space="0" w:color="auto"/>
        <w:left w:val="none" w:sz="0" w:space="0" w:color="auto"/>
        <w:bottom w:val="none" w:sz="0" w:space="0" w:color="auto"/>
        <w:right w:val="none" w:sz="0" w:space="0" w:color="auto"/>
      </w:divBdr>
    </w:div>
    <w:div w:id="604193821">
      <w:bodyDiv w:val="1"/>
      <w:marLeft w:val="0"/>
      <w:marRight w:val="0"/>
      <w:marTop w:val="0"/>
      <w:marBottom w:val="0"/>
      <w:divBdr>
        <w:top w:val="none" w:sz="0" w:space="0" w:color="auto"/>
        <w:left w:val="none" w:sz="0" w:space="0" w:color="auto"/>
        <w:bottom w:val="none" w:sz="0" w:space="0" w:color="auto"/>
        <w:right w:val="none" w:sz="0" w:space="0" w:color="auto"/>
      </w:divBdr>
      <w:divsChild>
        <w:div w:id="116072052">
          <w:marLeft w:val="0"/>
          <w:marRight w:val="0"/>
          <w:marTop w:val="0"/>
          <w:marBottom w:val="0"/>
          <w:divBdr>
            <w:top w:val="none" w:sz="0" w:space="0" w:color="auto"/>
            <w:left w:val="none" w:sz="0" w:space="0" w:color="auto"/>
            <w:bottom w:val="none" w:sz="0" w:space="0" w:color="auto"/>
            <w:right w:val="none" w:sz="0" w:space="0" w:color="auto"/>
          </w:divBdr>
        </w:div>
        <w:div w:id="1300762069">
          <w:marLeft w:val="0"/>
          <w:marRight w:val="0"/>
          <w:marTop w:val="0"/>
          <w:marBottom w:val="0"/>
          <w:divBdr>
            <w:top w:val="none" w:sz="0" w:space="0" w:color="auto"/>
            <w:left w:val="none" w:sz="0" w:space="0" w:color="auto"/>
            <w:bottom w:val="none" w:sz="0" w:space="0" w:color="auto"/>
            <w:right w:val="none" w:sz="0" w:space="0" w:color="auto"/>
          </w:divBdr>
        </w:div>
      </w:divsChild>
    </w:div>
    <w:div w:id="606470743">
      <w:bodyDiv w:val="1"/>
      <w:marLeft w:val="0"/>
      <w:marRight w:val="0"/>
      <w:marTop w:val="0"/>
      <w:marBottom w:val="0"/>
      <w:divBdr>
        <w:top w:val="none" w:sz="0" w:space="0" w:color="auto"/>
        <w:left w:val="none" w:sz="0" w:space="0" w:color="auto"/>
        <w:bottom w:val="none" w:sz="0" w:space="0" w:color="auto"/>
        <w:right w:val="none" w:sz="0" w:space="0" w:color="auto"/>
      </w:divBdr>
    </w:div>
    <w:div w:id="607661357">
      <w:bodyDiv w:val="1"/>
      <w:marLeft w:val="0"/>
      <w:marRight w:val="0"/>
      <w:marTop w:val="0"/>
      <w:marBottom w:val="0"/>
      <w:divBdr>
        <w:top w:val="none" w:sz="0" w:space="0" w:color="auto"/>
        <w:left w:val="none" w:sz="0" w:space="0" w:color="auto"/>
        <w:bottom w:val="none" w:sz="0" w:space="0" w:color="auto"/>
        <w:right w:val="none" w:sz="0" w:space="0" w:color="auto"/>
      </w:divBdr>
    </w:div>
    <w:div w:id="613094559">
      <w:bodyDiv w:val="1"/>
      <w:marLeft w:val="0"/>
      <w:marRight w:val="0"/>
      <w:marTop w:val="0"/>
      <w:marBottom w:val="0"/>
      <w:divBdr>
        <w:top w:val="none" w:sz="0" w:space="0" w:color="auto"/>
        <w:left w:val="none" w:sz="0" w:space="0" w:color="auto"/>
        <w:bottom w:val="none" w:sz="0" w:space="0" w:color="auto"/>
        <w:right w:val="none" w:sz="0" w:space="0" w:color="auto"/>
      </w:divBdr>
    </w:div>
    <w:div w:id="671295364">
      <w:bodyDiv w:val="1"/>
      <w:marLeft w:val="0"/>
      <w:marRight w:val="0"/>
      <w:marTop w:val="0"/>
      <w:marBottom w:val="0"/>
      <w:divBdr>
        <w:top w:val="none" w:sz="0" w:space="0" w:color="auto"/>
        <w:left w:val="none" w:sz="0" w:space="0" w:color="auto"/>
        <w:bottom w:val="none" w:sz="0" w:space="0" w:color="auto"/>
        <w:right w:val="none" w:sz="0" w:space="0" w:color="auto"/>
      </w:divBdr>
      <w:divsChild>
        <w:div w:id="718743478">
          <w:marLeft w:val="0"/>
          <w:marRight w:val="0"/>
          <w:marTop w:val="0"/>
          <w:marBottom w:val="0"/>
          <w:divBdr>
            <w:top w:val="none" w:sz="0" w:space="0" w:color="auto"/>
            <w:left w:val="none" w:sz="0" w:space="0" w:color="auto"/>
            <w:bottom w:val="none" w:sz="0" w:space="0" w:color="auto"/>
            <w:right w:val="none" w:sz="0" w:space="0" w:color="auto"/>
          </w:divBdr>
        </w:div>
        <w:div w:id="2096633578">
          <w:marLeft w:val="0"/>
          <w:marRight w:val="0"/>
          <w:marTop w:val="0"/>
          <w:marBottom w:val="0"/>
          <w:divBdr>
            <w:top w:val="none" w:sz="0" w:space="0" w:color="auto"/>
            <w:left w:val="none" w:sz="0" w:space="0" w:color="auto"/>
            <w:bottom w:val="none" w:sz="0" w:space="0" w:color="auto"/>
            <w:right w:val="none" w:sz="0" w:space="0" w:color="auto"/>
          </w:divBdr>
        </w:div>
      </w:divsChild>
    </w:div>
    <w:div w:id="672924217">
      <w:bodyDiv w:val="1"/>
      <w:marLeft w:val="0"/>
      <w:marRight w:val="0"/>
      <w:marTop w:val="0"/>
      <w:marBottom w:val="0"/>
      <w:divBdr>
        <w:top w:val="none" w:sz="0" w:space="0" w:color="auto"/>
        <w:left w:val="none" w:sz="0" w:space="0" w:color="auto"/>
        <w:bottom w:val="none" w:sz="0" w:space="0" w:color="auto"/>
        <w:right w:val="none" w:sz="0" w:space="0" w:color="auto"/>
      </w:divBdr>
      <w:divsChild>
        <w:div w:id="380400916">
          <w:marLeft w:val="0"/>
          <w:marRight w:val="0"/>
          <w:marTop w:val="0"/>
          <w:marBottom w:val="0"/>
          <w:divBdr>
            <w:top w:val="none" w:sz="0" w:space="0" w:color="auto"/>
            <w:left w:val="none" w:sz="0" w:space="0" w:color="auto"/>
            <w:bottom w:val="none" w:sz="0" w:space="0" w:color="auto"/>
            <w:right w:val="none" w:sz="0" w:space="0" w:color="auto"/>
          </w:divBdr>
        </w:div>
        <w:div w:id="718944127">
          <w:marLeft w:val="0"/>
          <w:marRight w:val="0"/>
          <w:marTop w:val="0"/>
          <w:marBottom w:val="0"/>
          <w:divBdr>
            <w:top w:val="none" w:sz="0" w:space="0" w:color="auto"/>
            <w:left w:val="none" w:sz="0" w:space="0" w:color="auto"/>
            <w:bottom w:val="none" w:sz="0" w:space="0" w:color="auto"/>
            <w:right w:val="none" w:sz="0" w:space="0" w:color="auto"/>
          </w:divBdr>
        </w:div>
        <w:div w:id="1714232680">
          <w:marLeft w:val="0"/>
          <w:marRight w:val="0"/>
          <w:marTop w:val="0"/>
          <w:marBottom w:val="0"/>
          <w:divBdr>
            <w:top w:val="none" w:sz="0" w:space="0" w:color="auto"/>
            <w:left w:val="none" w:sz="0" w:space="0" w:color="auto"/>
            <w:bottom w:val="none" w:sz="0" w:space="0" w:color="auto"/>
            <w:right w:val="none" w:sz="0" w:space="0" w:color="auto"/>
          </w:divBdr>
        </w:div>
      </w:divsChild>
    </w:div>
    <w:div w:id="700133777">
      <w:bodyDiv w:val="1"/>
      <w:marLeft w:val="0"/>
      <w:marRight w:val="0"/>
      <w:marTop w:val="0"/>
      <w:marBottom w:val="0"/>
      <w:divBdr>
        <w:top w:val="none" w:sz="0" w:space="0" w:color="auto"/>
        <w:left w:val="none" w:sz="0" w:space="0" w:color="auto"/>
        <w:bottom w:val="none" w:sz="0" w:space="0" w:color="auto"/>
        <w:right w:val="none" w:sz="0" w:space="0" w:color="auto"/>
      </w:divBdr>
    </w:div>
    <w:div w:id="714935791">
      <w:bodyDiv w:val="1"/>
      <w:marLeft w:val="0"/>
      <w:marRight w:val="0"/>
      <w:marTop w:val="0"/>
      <w:marBottom w:val="0"/>
      <w:divBdr>
        <w:top w:val="none" w:sz="0" w:space="0" w:color="auto"/>
        <w:left w:val="none" w:sz="0" w:space="0" w:color="auto"/>
        <w:bottom w:val="none" w:sz="0" w:space="0" w:color="auto"/>
        <w:right w:val="none" w:sz="0" w:space="0" w:color="auto"/>
      </w:divBdr>
      <w:divsChild>
        <w:div w:id="594685">
          <w:marLeft w:val="0"/>
          <w:marRight w:val="0"/>
          <w:marTop w:val="0"/>
          <w:marBottom w:val="0"/>
          <w:divBdr>
            <w:top w:val="none" w:sz="0" w:space="0" w:color="auto"/>
            <w:left w:val="none" w:sz="0" w:space="0" w:color="auto"/>
            <w:bottom w:val="none" w:sz="0" w:space="0" w:color="auto"/>
            <w:right w:val="none" w:sz="0" w:space="0" w:color="auto"/>
          </w:divBdr>
        </w:div>
        <w:div w:id="52316147">
          <w:marLeft w:val="0"/>
          <w:marRight w:val="0"/>
          <w:marTop w:val="0"/>
          <w:marBottom w:val="0"/>
          <w:divBdr>
            <w:top w:val="none" w:sz="0" w:space="0" w:color="auto"/>
            <w:left w:val="none" w:sz="0" w:space="0" w:color="auto"/>
            <w:bottom w:val="none" w:sz="0" w:space="0" w:color="auto"/>
            <w:right w:val="none" w:sz="0" w:space="0" w:color="auto"/>
          </w:divBdr>
        </w:div>
        <w:div w:id="101414889">
          <w:marLeft w:val="0"/>
          <w:marRight w:val="0"/>
          <w:marTop w:val="0"/>
          <w:marBottom w:val="0"/>
          <w:divBdr>
            <w:top w:val="none" w:sz="0" w:space="0" w:color="auto"/>
            <w:left w:val="none" w:sz="0" w:space="0" w:color="auto"/>
            <w:bottom w:val="none" w:sz="0" w:space="0" w:color="auto"/>
            <w:right w:val="none" w:sz="0" w:space="0" w:color="auto"/>
          </w:divBdr>
        </w:div>
        <w:div w:id="103498813">
          <w:marLeft w:val="0"/>
          <w:marRight w:val="0"/>
          <w:marTop w:val="0"/>
          <w:marBottom w:val="0"/>
          <w:divBdr>
            <w:top w:val="none" w:sz="0" w:space="0" w:color="auto"/>
            <w:left w:val="none" w:sz="0" w:space="0" w:color="auto"/>
            <w:bottom w:val="none" w:sz="0" w:space="0" w:color="auto"/>
            <w:right w:val="none" w:sz="0" w:space="0" w:color="auto"/>
          </w:divBdr>
        </w:div>
        <w:div w:id="120848531">
          <w:marLeft w:val="0"/>
          <w:marRight w:val="0"/>
          <w:marTop w:val="0"/>
          <w:marBottom w:val="0"/>
          <w:divBdr>
            <w:top w:val="none" w:sz="0" w:space="0" w:color="auto"/>
            <w:left w:val="none" w:sz="0" w:space="0" w:color="auto"/>
            <w:bottom w:val="none" w:sz="0" w:space="0" w:color="auto"/>
            <w:right w:val="none" w:sz="0" w:space="0" w:color="auto"/>
          </w:divBdr>
        </w:div>
        <w:div w:id="126750159">
          <w:marLeft w:val="0"/>
          <w:marRight w:val="0"/>
          <w:marTop w:val="0"/>
          <w:marBottom w:val="0"/>
          <w:divBdr>
            <w:top w:val="none" w:sz="0" w:space="0" w:color="auto"/>
            <w:left w:val="none" w:sz="0" w:space="0" w:color="auto"/>
            <w:bottom w:val="none" w:sz="0" w:space="0" w:color="auto"/>
            <w:right w:val="none" w:sz="0" w:space="0" w:color="auto"/>
          </w:divBdr>
        </w:div>
        <w:div w:id="130177298">
          <w:marLeft w:val="0"/>
          <w:marRight w:val="0"/>
          <w:marTop w:val="0"/>
          <w:marBottom w:val="0"/>
          <w:divBdr>
            <w:top w:val="none" w:sz="0" w:space="0" w:color="auto"/>
            <w:left w:val="none" w:sz="0" w:space="0" w:color="auto"/>
            <w:bottom w:val="none" w:sz="0" w:space="0" w:color="auto"/>
            <w:right w:val="none" w:sz="0" w:space="0" w:color="auto"/>
          </w:divBdr>
        </w:div>
        <w:div w:id="141315400">
          <w:marLeft w:val="0"/>
          <w:marRight w:val="0"/>
          <w:marTop w:val="0"/>
          <w:marBottom w:val="0"/>
          <w:divBdr>
            <w:top w:val="none" w:sz="0" w:space="0" w:color="auto"/>
            <w:left w:val="none" w:sz="0" w:space="0" w:color="auto"/>
            <w:bottom w:val="none" w:sz="0" w:space="0" w:color="auto"/>
            <w:right w:val="none" w:sz="0" w:space="0" w:color="auto"/>
          </w:divBdr>
        </w:div>
        <w:div w:id="187716652">
          <w:marLeft w:val="0"/>
          <w:marRight w:val="0"/>
          <w:marTop w:val="0"/>
          <w:marBottom w:val="0"/>
          <w:divBdr>
            <w:top w:val="none" w:sz="0" w:space="0" w:color="auto"/>
            <w:left w:val="none" w:sz="0" w:space="0" w:color="auto"/>
            <w:bottom w:val="none" w:sz="0" w:space="0" w:color="auto"/>
            <w:right w:val="none" w:sz="0" w:space="0" w:color="auto"/>
          </w:divBdr>
        </w:div>
        <w:div w:id="195511987">
          <w:marLeft w:val="0"/>
          <w:marRight w:val="0"/>
          <w:marTop w:val="0"/>
          <w:marBottom w:val="0"/>
          <w:divBdr>
            <w:top w:val="none" w:sz="0" w:space="0" w:color="auto"/>
            <w:left w:val="none" w:sz="0" w:space="0" w:color="auto"/>
            <w:bottom w:val="none" w:sz="0" w:space="0" w:color="auto"/>
            <w:right w:val="none" w:sz="0" w:space="0" w:color="auto"/>
          </w:divBdr>
        </w:div>
        <w:div w:id="204369989">
          <w:marLeft w:val="0"/>
          <w:marRight w:val="0"/>
          <w:marTop w:val="0"/>
          <w:marBottom w:val="0"/>
          <w:divBdr>
            <w:top w:val="none" w:sz="0" w:space="0" w:color="auto"/>
            <w:left w:val="none" w:sz="0" w:space="0" w:color="auto"/>
            <w:bottom w:val="none" w:sz="0" w:space="0" w:color="auto"/>
            <w:right w:val="none" w:sz="0" w:space="0" w:color="auto"/>
          </w:divBdr>
        </w:div>
        <w:div w:id="205803723">
          <w:marLeft w:val="0"/>
          <w:marRight w:val="0"/>
          <w:marTop w:val="0"/>
          <w:marBottom w:val="0"/>
          <w:divBdr>
            <w:top w:val="none" w:sz="0" w:space="0" w:color="auto"/>
            <w:left w:val="none" w:sz="0" w:space="0" w:color="auto"/>
            <w:bottom w:val="none" w:sz="0" w:space="0" w:color="auto"/>
            <w:right w:val="none" w:sz="0" w:space="0" w:color="auto"/>
          </w:divBdr>
        </w:div>
        <w:div w:id="210964502">
          <w:marLeft w:val="0"/>
          <w:marRight w:val="0"/>
          <w:marTop w:val="0"/>
          <w:marBottom w:val="0"/>
          <w:divBdr>
            <w:top w:val="none" w:sz="0" w:space="0" w:color="auto"/>
            <w:left w:val="none" w:sz="0" w:space="0" w:color="auto"/>
            <w:bottom w:val="none" w:sz="0" w:space="0" w:color="auto"/>
            <w:right w:val="none" w:sz="0" w:space="0" w:color="auto"/>
          </w:divBdr>
        </w:div>
        <w:div w:id="263615266">
          <w:marLeft w:val="0"/>
          <w:marRight w:val="0"/>
          <w:marTop w:val="0"/>
          <w:marBottom w:val="0"/>
          <w:divBdr>
            <w:top w:val="none" w:sz="0" w:space="0" w:color="auto"/>
            <w:left w:val="none" w:sz="0" w:space="0" w:color="auto"/>
            <w:bottom w:val="none" w:sz="0" w:space="0" w:color="auto"/>
            <w:right w:val="none" w:sz="0" w:space="0" w:color="auto"/>
          </w:divBdr>
        </w:div>
        <w:div w:id="274291835">
          <w:marLeft w:val="0"/>
          <w:marRight w:val="0"/>
          <w:marTop w:val="0"/>
          <w:marBottom w:val="0"/>
          <w:divBdr>
            <w:top w:val="none" w:sz="0" w:space="0" w:color="auto"/>
            <w:left w:val="none" w:sz="0" w:space="0" w:color="auto"/>
            <w:bottom w:val="none" w:sz="0" w:space="0" w:color="auto"/>
            <w:right w:val="none" w:sz="0" w:space="0" w:color="auto"/>
          </w:divBdr>
        </w:div>
        <w:div w:id="299849272">
          <w:marLeft w:val="0"/>
          <w:marRight w:val="0"/>
          <w:marTop w:val="0"/>
          <w:marBottom w:val="0"/>
          <w:divBdr>
            <w:top w:val="none" w:sz="0" w:space="0" w:color="auto"/>
            <w:left w:val="none" w:sz="0" w:space="0" w:color="auto"/>
            <w:bottom w:val="none" w:sz="0" w:space="0" w:color="auto"/>
            <w:right w:val="none" w:sz="0" w:space="0" w:color="auto"/>
          </w:divBdr>
        </w:div>
        <w:div w:id="336689333">
          <w:marLeft w:val="0"/>
          <w:marRight w:val="0"/>
          <w:marTop w:val="0"/>
          <w:marBottom w:val="0"/>
          <w:divBdr>
            <w:top w:val="none" w:sz="0" w:space="0" w:color="auto"/>
            <w:left w:val="none" w:sz="0" w:space="0" w:color="auto"/>
            <w:bottom w:val="none" w:sz="0" w:space="0" w:color="auto"/>
            <w:right w:val="none" w:sz="0" w:space="0" w:color="auto"/>
          </w:divBdr>
        </w:div>
        <w:div w:id="348142423">
          <w:marLeft w:val="0"/>
          <w:marRight w:val="0"/>
          <w:marTop w:val="0"/>
          <w:marBottom w:val="0"/>
          <w:divBdr>
            <w:top w:val="none" w:sz="0" w:space="0" w:color="auto"/>
            <w:left w:val="none" w:sz="0" w:space="0" w:color="auto"/>
            <w:bottom w:val="none" w:sz="0" w:space="0" w:color="auto"/>
            <w:right w:val="none" w:sz="0" w:space="0" w:color="auto"/>
          </w:divBdr>
        </w:div>
        <w:div w:id="386690581">
          <w:marLeft w:val="0"/>
          <w:marRight w:val="0"/>
          <w:marTop w:val="0"/>
          <w:marBottom w:val="0"/>
          <w:divBdr>
            <w:top w:val="none" w:sz="0" w:space="0" w:color="auto"/>
            <w:left w:val="none" w:sz="0" w:space="0" w:color="auto"/>
            <w:bottom w:val="none" w:sz="0" w:space="0" w:color="auto"/>
            <w:right w:val="none" w:sz="0" w:space="0" w:color="auto"/>
          </w:divBdr>
        </w:div>
        <w:div w:id="389694737">
          <w:marLeft w:val="0"/>
          <w:marRight w:val="0"/>
          <w:marTop w:val="0"/>
          <w:marBottom w:val="0"/>
          <w:divBdr>
            <w:top w:val="none" w:sz="0" w:space="0" w:color="auto"/>
            <w:left w:val="none" w:sz="0" w:space="0" w:color="auto"/>
            <w:bottom w:val="none" w:sz="0" w:space="0" w:color="auto"/>
            <w:right w:val="none" w:sz="0" w:space="0" w:color="auto"/>
          </w:divBdr>
        </w:div>
        <w:div w:id="393698372">
          <w:marLeft w:val="0"/>
          <w:marRight w:val="0"/>
          <w:marTop w:val="0"/>
          <w:marBottom w:val="0"/>
          <w:divBdr>
            <w:top w:val="none" w:sz="0" w:space="0" w:color="auto"/>
            <w:left w:val="none" w:sz="0" w:space="0" w:color="auto"/>
            <w:bottom w:val="none" w:sz="0" w:space="0" w:color="auto"/>
            <w:right w:val="none" w:sz="0" w:space="0" w:color="auto"/>
          </w:divBdr>
        </w:div>
        <w:div w:id="393820713">
          <w:marLeft w:val="0"/>
          <w:marRight w:val="0"/>
          <w:marTop w:val="0"/>
          <w:marBottom w:val="0"/>
          <w:divBdr>
            <w:top w:val="none" w:sz="0" w:space="0" w:color="auto"/>
            <w:left w:val="none" w:sz="0" w:space="0" w:color="auto"/>
            <w:bottom w:val="none" w:sz="0" w:space="0" w:color="auto"/>
            <w:right w:val="none" w:sz="0" w:space="0" w:color="auto"/>
          </w:divBdr>
        </w:div>
        <w:div w:id="406729113">
          <w:marLeft w:val="0"/>
          <w:marRight w:val="0"/>
          <w:marTop w:val="0"/>
          <w:marBottom w:val="0"/>
          <w:divBdr>
            <w:top w:val="none" w:sz="0" w:space="0" w:color="auto"/>
            <w:left w:val="none" w:sz="0" w:space="0" w:color="auto"/>
            <w:bottom w:val="none" w:sz="0" w:space="0" w:color="auto"/>
            <w:right w:val="none" w:sz="0" w:space="0" w:color="auto"/>
          </w:divBdr>
        </w:div>
        <w:div w:id="458036454">
          <w:marLeft w:val="0"/>
          <w:marRight w:val="0"/>
          <w:marTop w:val="0"/>
          <w:marBottom w:val="0"/>
          <w:divBdr>
            <w:top w:val="none" w:sz="0" w:space="0" w:color="auto"/>
            <w:left w:val="none" w:sz="0" w:space="0" w:color="auto"/>
            <w:bottom w:val="none" w:sz="0" w:space="0" w:color="auto"/>
            <w:right w:val="none" w:sz="0" w:space="0" w:color="auto"/>
          </w:divBdr>
        </w:div>
        <w:div w:id="470296634">
          <w:marLeft w:val="0"/>
          <w:marRight w:val="0"/>
          <w:marTop w:val="0"/>
          <w:marBottom w:val="0"/>
          <w:divBdr>
            <w:top w:val="none" w:sz="0" w:space="0" w:color="auto"/>
            <w:left w:val="none" w:sz="0" w:space="0" w:color="auto"/>
            <w:bottom w:val="none" w:sz="0" w:space="0" w:color="auto"/>
            <w:right w:val="none" w:sz="0" w:space="0" w:color="auto"/>
          </w:divBdr>
        </w:div>
        <w:div w:id="549996928">
          <w:marLeft w:val="0"/>
          <w:marRight w:val="0"/>
          <w:marTop w:val="0"/>
          <w:marBottom w:val="0"/>
          <w:divBdr>
            <w:top w:val="none" w:sz="0" w:space="0" w:color="auto"/>
            <w:left w:val="none" w:sz="0" w:space="0" w:color="auto"/>
            <w:bottom w:val="none" w:sz="0" w:space="0" w:color="auto"/>
            <w:right w:val="none" w:sz="0" w:space="0" w:color="auto"/>
          </w:divBdr>
        </w:div>
        <w:div w:id="578028737">
          <w:marLeft w:val="0"/>
          <w:marRight w:val="0"/>
          <w:marTop w:val="0"/>
          <w:marBottom w:val="0"/>
          <w:divBdr>
            <w:top w:val="none" w:sz="0" w:space="0" w:color="auto"/>
            <w:left w:val="none" w:sz="0" w:space="0" w:color="auto"/>
            <w:bottom w:val="none" w:sz="0" w:space="0" w:color="auto"/>
            <w:right w:val="none" w:sz="0" w:space="0" w:color="auto"/>
          </w:divBdr>
        </w:div>
        <w:div w:id="637733896">
          <w:marLeft w:val="0"/>
          <w:marRight w:val="0"/>
          <w:marTop w:val="0"/>
          <w:marBottom w:val="0"/>
          <w:divBdr>
            <w:top w:val="none" w:sz="0" w:space="0" w:color="auto"/>
            <w:left w:val="none" w:sz="0" w:space="0" w:color="auto"/>
            <w:bottom w:val="none" w:sz="0" w:space="0" w:color="auto"/>
            <w:right w:val="none" w:sz="0" w:space="0" w:color="auto"/>
          </w:divBdr>
        </w:div>
        <w:div w:id="640504018">
          <w:marLeft w:val="0"/>
          <w:marRight w:val="0"/>
          <w:marTop w:val="0"/>
          <w:marBottom w:val="0"/>
          <w:divBdr>
            <w:top w:val="none" w:sz="0" w:space="0" w:color="auto"/>
            <w:left w:val="none" w:sz="0" w:space="0" w:color="auto"/>
            <w:bottom w:val="none" w:sz="0" w:space="0" w:color="auto"/>
            <w:right w:val="none" w:sz="0" w:space="0" w:color="auto"/>
          </w:divBdr>
        </w:div>
        <w:div w:id="644629238">
          <w:marLeft w:val="0"/>
          <w:marRight w:val="0"/>
          <w:marTop w:val="0"/>
          <w:marBottom w:val="0"/>
          <w:divBdr>
            <w:top w:val="none" w:sz="0" w:space="0" w:color="auto"/>
            <w:left w:val="none" w:sz="0" w:space="0" w:color="auto"/>
            <w:bottom w:val="none" w:sz="0" w:space="0" w:color="auto"/>
            <w:right w:val="none" w:sz="0" w:space="0" w:color="auto"/>
          </w:divBdr>
        </w:div>
        <w:div w:id="682440343">
          <w:marLeft w:val="0"/>
          <w:marRight w:val="0"/>
          <w:marTop w:val="0"/>
          <w:marBottom w:val="0"/>
          <w:divBdr>
            <w:top w:val="none" w:sz="0" w:space="0" w:color="auto"/>
            <w:left w:val="none" w:sz="0" w:space="0" w:color="auto"/>
            <w:bottom w:val="none" w:sz="0" w:space="0" w:color="auto"/>
            <w:right w:val="none" w:sz="0" w:space="0" w:color="auto"/>
          </w:divBdr>
        </w:div>
        <w:div w:id="686643582">
          <w:marLeft w:val="0"/>
          <w:marRight w:val="0"/>
          <w:marTop w:val="0"/>
          <w:marBottom w:val="0"/>
          <w:divBdr>
            <w:top w:val="none" w:sz="0" w:space="0" w:color="auto"/>
            <w:left w:val="none" w:sz="0" w:space="0" w:color="auto"/>
            <w:bottom w:val="none" w:sz="0" w:space="0" w:color="auto"/>
            <w:right w:val="none" w:sz="0" w:space="0" w:color="auto"/>
          </w:divBdr>
        </w:div>
        <w:div w:id="698817275">
          <w:marLeft w:val="0"/>
          <w:marRight w:val="0"/>
          <w:marTop w:val="0"/>
          <w:marBottom w:val="0"/>
          <w:divBdr>
            <w:top w:val="none" w:sz="0" w:space="0" w:color="auto"/>
            <w:left w:val="none" w:sz="0" w:space="0" w:color="auto"/>
            <w:bottom w:val="none" w:sz="0" w:space="0" w:color="auto"/>
            <w:right w:val="none" w:sz="0" w:space="0" w:color="auto"/>
          </w:divBdr>
        </w:div>
        <w:div w:id="722602187">
          <w:marLeft w:val="0"/>
          <w:marRight w:val="0"/>
          <w:marTop w:val="0"/>
          <w:marBottom w:val="0"/>
          <w:divBdr>
            <w:top w:val="none" w:sz="0" w:space="0" w:color="auto"/>
            <w:left w:val="none" w:sz="0" w:space="0" w:color="auto"/>
            <w:bottom w:val="none" w:sz="0" w:space="0" w:color="auto"/>
            <w:right w:val="none" w:sz="0" w:space="0" w:color="auto"/>
          </w:divBdr>
        </w:div>
        <w:div w:id="843085955">
          <w:marLeft w:val="0"/>
          <w:marRight w:val="0"/>
          <w:marTop w:val="0"/>
          <w:marBottom w:val="0"/>
          <w:divBdr>
            <w:top w:val="none" w:sz="0" w:space="0" w:color="auto"/>
            <w:left w:val="none" w:sz="0" w:space="0" w:color="auto"/>
            <w:bottom w:val="none" w:sz="0" w:space="0" w:color="auto"/>
            <w:right w:val="none" w:sz="0" w:space="0" w:color="auto"/>
          </w:divBdr>
        </w:div>
        <w:div w:id="877670646">
          <w:marLeft w:val="0"/>
          <w:marRight w:val="0"/>
          <w:marTop w:val="0"/>
          <w:marBottom w:val="0"/>
          <w:divBdr>
            <w:top w:val="none" w:sz="0" w:space="0" w:color="auto"/>
            <w:left w:val="none" w:sz="0" w:space="0" w:color="auto"/>
            <w:bottom w:val="none" w:sz="0" w:space="0" w:color="auto"/>
            <w:right w:val="none" w:sz="0" w:space="0" w:color="auto"/>
          </w:divBdr>
        </w:div>
        <w:div w:id="881358948">
          <w:marLeft w:val="0"/>
          <w:marRight w:val="0"/>
          <w:marTop w:val="0"/>
          <w:marBottom w:val="0"/>
          <w:divBdr>
            <w:top w:val="none" w:sz="0" w:space="0" w:color="auto"/>
            <w:left w:val="none" w:sz="0" w:space="0" w:color="auto"/>
            <w:bottom w:val="none" w:sz="0" w:space="0" w:color="auto"/>
            <w:right w:val="none" w:sz="0" w:space="0" w:color="auto"/>
          </w:divBdr>
        </w:div>
        <w:div w:id="884561722">
          <w:marLeft w:val="0"/>
          <w:marRight w:val="0"/>
          <w:marTop w:val="0"/>
          <w:marBottom w:val="0"/>
          <w:divBdr>
            <w:top w:val="none" w:sz="0" w:space="0" w:color="auto"/>
            <w:left w:val="none" w:sz="0" w:space="0" w:color="auto"/>
            <w:bottom w:val="none" w:sz="0" w:space="0" w:color="auto"/>
            <w:right w:val="none" w:sz="0" w:space="0" w:color="auto"/>
          </w:divBdr>
        </w:div>
        <w:div w:id="901217611">
          <w:marLeft w:val="0"/>
          <w:marRight w:val="0"/>
          <w:marTop w:val="0"/>
          <w:marBottom w:val="0"/>
          <w:divBdr>
            <w:top w:val="none" w:sz="0" w:space="0" w:color="auto"/>
            <w:left w:val="none" w:sz="0" w:space="0" w:color="auto"/>
            <w:bottom w:val="none" w:sz="0" w:space="0" w:color="auto"/>
            <w:right w:val="none" w:sz="0" w:space="0" w:color="auto"/>
          </w:divBdr>
        </w:div>
        <w:div w:id="1013529000">
          <w:marLeft w:val="0"/>
          <w:marRight w:val="0"/>
          <w:marTop w:val="0"/>
          <w:marBottom w:val="0"/>
          <w:divBdr>
            <w:top w:val="none" w:sz="0" w:space="0" w:color="auto"/>
            <w:left w:val="none" w:sz="0" w:space="0" w:color="auto"/>
            <w:bottom w:val="none" w:sz="0" w:space="0" w:color="auto"/>
            <w:right w:val="none" w:sz="0" w:space="0" w:color="auto"/>
          </w:divBdr>
        </w:div>
        <w:div w:id="1028994356">
          <w:marLeft w:val="0"/>
          <w:marRight w:val="0"/>
          <w:marTop w:val="0"/>
          <w:marBottom w:val="0"/>
          <w:divBdr>
            <w:top w:val="none" w:sz="0" w:space="0" w:color="auto"/>
            <w:left w:val="none" w:sz="0" w:space="0" w:color="auto"/>
            <w:bottom w:val="none" w:sz="0" w:space="0" w:color="auto"/>
            <w:right w:val="none" w:sz="0" w:space="0" w:color="auto"/>
          </w:divBdr>
        </w:div>
        <w:div w:id="1032652779">
          <w:marLeft w:val="0"/>
          <w:marRight w:val="0"/>
          <w:marTop w:val="0"/>
          <w:marBottom w:val="0"/>
          <w:divBdr>
            <w:top w:val="none" w:sz="0" w:space="0" w:color="auto"/>
            <w:left w:val="none" w:sz="0" w:space="0" w:color="auto"/>
            <w:bottom w:val="none" w:sz="0" w:space="0" w:color="auto"/>
            <w:right w:val="none" w:sz="0" w:space="0" w:color="auto"/>
          </w:divBdr>
        </w:div>
        <w:div w:id="1043405638">
          <w:marLeft w:val="0"/>
          <w:marRight w:val="0"/>
          <w:marTop w:val="0"/>
          <w:marBottom w:val="0"/>
          <w:divBdr>
            <w:top w:val="none" w:sz="0" w:space="0" w:color="auto"/>
            <w:left w:val="none" w:sz="0" w:space="0" w:color="auto"/>
            <w:bottom w:val="none" w:sz="0" w:space="0" w:color="auto"/>
            <w:right w:val="none" w:sz="0" w:space="0" w:color="auto"/>
          </w:divBdr>
        </w:div>
        <w:div w:id="1061975939">
          <w:marLeft w:val="0"/>
          <w:marRight w:val="0"/>
          <w:marTop w:val="0"/>
          <w:marBottom w:val="0"/>
          <w:divBdr>
            <w:top w:val="none" w:sz="0" w:space="0" w:color="auto"/>
            <w:left w:val="none" w:sz="0" w:space="0" w:color="auto"/>
            <w:bottom w:val="none" w:sz="0" w:space="0" w:color="auto"/>
            <w:right w:val="none" w:sz="0" w:space="0" w:color="auto"/>
          </w:divBdr>
        </w:div>
        <w:div w:id="1095903821">
          <w:marLeft w:val="0"/>
          <w:marRight w:val="0"/>
          <w:marTop w:val="0"/>
          <w:marBottom w:val="0"/>
          <w:divBdr>
            <w:top w:val="none" w:sz="0" w:space="0" w:color="auto"/>
            <w:left w:val="none" w:sz="0" w:space="0" w:color="auto"/>
            <w:bottom w:val="none" w:sz="0" w:space="0" w:color="auto"/>
            <w:right w:val="none" w:sz="0" w:space="0" w:color="auto"/>
          </w:divBdr>
        </w:div>
        <w:div w:id="1096248582">
          <w:marLeft w:val="0"/>
          <w:marRight w:val="0"/>
          <w:marTop w:val="0"/>
          <w:marBottom w:val="0"/>
          <w:divBdr>
            <w:top w:val="none" w:sz="0" w:space="0" w:color="auto"/>
            <w:left w:val="none" w:sz="0" w:space="0" w:color="auto"/>
            <w:bottom w:val="none" w:sz="0" w:space="0" w:color="auto"/>
            <w:right w:val="none" w:sz="0" w:space="0" w:color="auto"/>
          </w:divBdr>
        </w:div>
        <w:div w:id="1099135879">
          <w:marLeft w:val="0"/>
          <w:marRight w:val="0"/>
          <w:marTop w:val="0"/>
          <w:marBottom w:val="0"/>
          <w:divBdr>
            <w:top w:val="none" w:sz="0" w:space="0" w:color="auto"/>
            <w:left w:val="none" w:sz="0" w:space="0" w:color="auto"/>
            <w:bottom w:val="none" w:sz="0" w:space="0" w:color="auto"/>
            <w:right w:val="none" w:sz="0" w:space="0" w:color="auto"/>
          </w:divBdr>
        </w:div>
        <w:div w:id="1101027570">
          <w:marLeft w:val="0"/>
          <w:marRight w:val="0"/>
          <w:marTop w:val="0"/>
          <w:marBottom w:val="0"/>
          <w:divBdr>
            <w:top w:val="none" w:sz="0" w:space="0" w:color="auto"/>
            <w:left w:val="none" w:sz="0" w:space="0" w:color="auto"/>
            <w:bottom w:val="none" w:sz="0" w:space="0" w:color="auto"/>
            <w:right w:val="none" w:sz="0" w:space="0" w:color="auto"/>
          </w:divBdr>
        </w:div>
        <w:div w:id="1121147477">
          <w:marLeft w:val="0"/>
          <w:marRight w:val="0"/>
          <w:marTop w:val="0"/>
          <w:marBottom w:val="0"/>
          <w:divBdr>
            <w:top w:val="none" w:sz="0" w:space="0" w:color="auto"/>
            <w:left w:val="none" w:sz="0" w:space="0" w:color="auto"/>
            <w:bottom w:val="none" w:sz="0" w:space="0" w:color="auto"/>
            <w:right w:val="none" w:sz="0" w:space="0" w:color="auto"/>
          </w:divBdr>
        </w:div>
        <w:div w:id="1125000112">
          <w:marLeft w:val="0"/>
          <w:marRight w:val="0"/>
          <w:marTop w:val="0"/>
          <w:marBottom w:val="0"/>
          <w:divBdr>
            <w:top w:val="none" w:sz="0" w:space="0" w:color="auto"/>
            <w:left w:val="none" w:sz="0" w:space="0" w:color="auto"/>
            <w:bottom w:val="none" w:sz="0" w:space="0" w:color="auto"/>
            <w:right w:val="none" w:sz="0" w:space="0" w:color="auto"/>
          </w:divBdr>
        </w:div>
        <w:div w:id="1129588316">
          <w:marLeft w:val="0"/>
          <w:marRight w:val="0"/>
          <w:marTop w:val="0"/>
          <w:marBottom w:val="0"/>
          <w:divBdr>
            <w:top w:val="none" w:sz="0" w:space="0" w:color="auto"/>
            <w:left w:val="none" w:sz="0" w:space="0" w:color="auto"/>
            <w:bottom w:val="none" w:sz="0" w:space="0" w:color="auto"/>
            <w:right w:val="none" w:sz="0" w:space="0" w:color="auto"/>
          </w:divBdr>
        </w:div>
        <w:div w:id="1133449136">
          <w:marLeft w:val="0"/>
          <w:marRight w:val="0"/>
          <w:marTop w:val="0"/>
          <w:marBottom w:val="0"/>
          <w:divBdr>
            <w:top w:val="none" w:sz="0" w:space="0" w:color="auto"/>
            <w:left w:val="none" w:sz="0" w:space="0" w:color="auto"/>
            <w:bottom w:val="none" w:sz="0" w:space="0" w:color="auto"/>
            <w:right w:val="none" w:sz="0" w:space="0" w:color="auto"/>
          </w:divBdr>
        </w:div>
        <w:div w:id="1143231975">
          <w:marLeft w:val="0"/>
          <w:marRight w:val="0"/>
          <w:marTop w:val="0"/>
          <w:marBottom w:val="0"/>
          <w:divBdr>
            <w:top w:val="none" w:sz="0" w:space="0" w:color="auto"/>
            <w:left w:val="none" w:sz="0" w:space="0" w:color="auto"/>
            <w:bottom w:val="none" w:sz="0" w:space="0" w:color="auto"/>
            <w:right w:val="none" w:sz="0" w:space="0" w:color="auto"/>
          </w:divBdr>
        </w:div>
        <w:div w:id="1158885733">
          <w:marLeft w:val="0"/>
          <w:marRight w:val="0"/>
          <w:marTop w:val="0"/>
          <w:marBottom w:val="0"/>
          <w:divBdr>
            <w:top w:val="none" w:sz="0" w:space="0" w:color="auto"/>
            <w:left w:val="none" w:sz="0" w:space="0" w:color="auto"/>
            <w:bottom w:val="none" w:sz="0" w:space="0" w:color="auto"/>
            <w:right w:val="none" w:sz="0" w:space="0" w:color="auto"/>
          </w:divBdr>
        </w:div>
        <w:div w:id="1160731121">
          <w:marLeft w:val="0"/>
          <w:marRight w:val="0"/>
          <w:marTop w:val="0"/>
          <w:marBottom w:val="0"/>
          <w:divBdr>
            <w:top w:val="none" w:sz="0" w:space="0" w:color="auto"/>
            <w:left w:val="none" w:sz="0" w:space="0" w:color="auto"/>
            <w:bottom w:val="none" w:sz="0" w:space="0" w:color="auto"/>
            <w:right w:val="none" w:sz="0" w:space="0" w:color="auto"/>
          </w:divBdr>
        </w:div>
        <w:div w:id="1204367953">
          <w:marLeft w:val="0"/>
          <w:marRight w:val="0"/>
          <w:marTop w:val="0"/>
          <w:marBottom w:val="0"/>
          <w:divBdr>
            <w:top w:val="none" w:sz="0" w:space="0" w:color="auto"/>
            <w:left w:val="none" w:sz="0" w:space="0" w:color="auto"/>
            <w:bottom w:val="none" w:sz="0" w:space="0" w:color="auto"/>
            <w:right w:val="none" w:sz="0" w:space="0" w:color="auto"/>
          </w:divBdr>
        </w:div>
        <w:div w:id="1249924849">
          <w:marLeft w:val="0"/>
          <w:marRight w:val="0"/>
          <w:marTop w:val="0"/>
          <w:marBottom w:val="0"/>
          <w:divBdr>
            <w:top w:val="none" w:sz="0" w:space="0" w:color="auto"/>
            <w:left w:val="none" w:sz="0" w:space="0" w:color="auto"/>
            <w:bottom w:val="none" w:sz="0" w:space="0" w:color="auto"/>
            <w:right w:val="none" w:sz="0" w:space="0" w:color="auto"/>
          </w:divBdr>
        </w:div>
        <w:div w:id="1259218321">
          <w:marLeft w:val="0"/>
          <w:marRight w:val="0"/>
          <w:marTop w:val="0"/>
          <w:marBottom w:val="0"/>
          <w:divBdr>
            <w:top w:val="none" w:sz="0" w:space="0" w:color="auto"/>
            <w:left w:val="none" w:sz="0" w:space="0" w:color="auto"/>
            <w:bottom w:val="none" w:sz="0" w:space="0" w:color="auto"/>
            <w:right w:val="none" w:sz="0" w:space="0" w:color="auto"/>
          </w:divBdr>
        </w:div>
        <w:div w:id="1290356280">
          <w:marLeft w:val="0"/>
          <w:marRight w:val="0"/>
          <w:marTop w:val="0"/>
          <w:marBottom w:val="0"/>
          <w:divBdr>
            <w:top w:val="none" w:sz="0" w:space="0" w:color="auto"/>
            <w:left w:val="none" w:sz="0" w:space="0" w:color="auto"/>
            <w:bottom w:val="none" w:sz="0" w:space="0" w:color="auto"/>
            <w:right w:val="none" w:sz="0" w:space="0" w:color="auto"/>
          </w:divBdr>
        </w:div>
        <w:div w:id="1295405086">
          <w:marLeft w:val="0"/>
          <w:marRight w:val="0"/>
          <w:marTop w:val="0"/>
          <w:marBottom w:val="0"/>
          <w:divBdr>
            <w:top w:val="none" w:sz="0" w:space="0" w:color="auto"/>
            <w:left w:val="none" w:sz="0" w:space="0" w:color="auto"/>
            <w:bottom w:val="none" w:sz="0" w:space="0" w:color="auto"/>
            <w:right w:val="none" w:sz="0" w:space="0" w:color="auto"/>
          </w:divBdr>
        </w:div>
        <w:div w:id="1326323599">
          <w:marLeft w:val="0"/>
          <w:marRight w:val="0"/>
          <w:marTop w:val="0"/>
          <w:marBottom w:val="0"/>
          <w:divBdr>
            <w:top w:val="none" w:sz="0" w:space="0" w:color="auto"/>
            <w:left w:val="none" w:sz="0" w:space="0" w:color="auto"/>
            <w:bottom w:val="none" w:sz="0" w:space="0" w:color="auto"/>
            <w:right w:val="none" w:sz="0" w:space="0" w:color="auto"/>
          </w:divBdr>
        </w:div>
        <w:div w:id="1342202271">
          <w:marLeft w:val="0"/>
          <w:marRight w:val="0"/>
          <w:marTop w:val="0"/>
          <w:marBottom w:val="0"/>
          <w:divBdr>
            <w:top w:val="none" w:sz="0" w:space="0" w:color="auto"/>
            <w:left w:val="none" w:sz="0" w:space="0" w:color="auto"/>
            <w:bottom w:val="none" w:sz="0" w:space="0" w:color="auto"/>
            <w:right w:val="none" w:sz="0" w:space="0" w:color="auto"/>
          </w:divBdr>
        </w:div>
        <w:div w:id="1352804386">
          <w:marLeft w:val="0"/>
          <w:marRight w:val="0"/>
          <w:marTop w:val="0"/>
          <w:marBottom w:val="0"/>
          <w:divBdr>
            <w:top w:val="none" w:sz="0" w:space="0" w:color="auto"/>
            <w:left w:val="none" w:sz="0" w:space="0" w:color="auto"/>
            <w:bottom w:val="none" w:sz="0" w:space="0" w:color="auto"/>
            <w:right w:val="none" w:sz="0" w:space="0" w:color="auto"/>
          </w:divBdr>
        </w:div>
        <w:div w:id="1367605950">
          <w:marLeft w:val="0"/>
          <w:marRight w:val="0"/>
          <w:marTop w:val="0"/>
          <w:marBottom w:val="0"/>
          <w:divBdr>
            <w:top w:val="none" w:sz="0" w:space="0" w:color="auto"/>
            <w:left w:val="none" w:sz="0" w:space="0" w:color="auto"/>
            <w:bottom w:val="none" w:sz="0" w:space="0" w:color="auto"/>
            <w:right w:val="none" w:sz="0" w:space="0" w:color="auto"/>
          </w:divBdr>
        </w:div>
        <w:div w:id="1377240619">
          <w:marLeft w:val="0"/>
          <w:marRight w:val="0"/>
          <w:marTop w:val="0"/>
          <w:marBottom w:val="0"/>
          <w:divBdr>
            <w:top w:val="none" w:sz="0" w:space="0" w:color="auto"/>
            <w:left w:val="none" w:sz="0" w:space="0" w:color="auto"/>
            <w:bottom w:val="none" w:sz="0" w:space="0" w:color="auto"/>
            <w:right w:val="none" w:sz="0" w:space="0" w:color="auto"/>
          </w:divBdr>
        </w:div>
        <w:div w:id="1403747917">
          <w:marLeft w:val="0"/>
          <w:marRight w:val="0"/>
          <w:marTop w:val="0"/>
          <w:marBottom w:val="0"/>
          <w:divBdr>
            <w:top w:val="none" w:sz="0" w:space="0" w:color="auto"/>
            <w:left w:val="none" w:sz="0" w:space="0" w:color="auto"/>
            <w:bottom w:val="none" w:sz="0" w:space="0" w:color="auto"/>
            <w:right w:val="none" w:sz="0" w:space="0" w:color="auto"/>
          </w:divBdr>
        </w:div>
        <w:div w:id="1404913400">
          <w:marLeft w:val="0"/>
          <w:marRight w:val="0"/>
          <w:marTop w:val="0"/>
          <w:marBottom w:val="0"/>
          <w:divBdr>
            <w:top w:val="none" w:sz="0" w:space="0" w:color="auto"/>
            <w:left w:val="none" w:sz="0" w:space="0" w:color="auto"/>
            <w:bottom w:val="none" w:sz="0" w:space="0" w:color="auto"/>
            <w:right w:val="none" w:sz="0" w:space="0" w:color="auto"/>
          </w:divBdr>
        </w:div>
        <w:div w:id="1407190094">
          <w:marLeft w:val="0"/>
          <w:marRight w:val="0"/>
          <w:marTop w:val="0"/>
          <w:marBottom w:val="0"/>
          <w:divBdr>
            <w:top w:val="none" w:sz="0" w:space="0" w:color="auto"/>
            <w:left w:val="none" w:sz="0" w:space="0" w:color="auto"/>
            <w:bottom w:val="none" w:sz="0" w:space="0" w:color="auto"/>
            <w:right w:val="none" w:sz="0" w:space="0" w:color="auto"/>
          </w:divBdr>
        </w:div>
        <w:div w:id="1443184973">
          <w:marLeft w:val="0"/>
          <w:marRight w:val="0"/>
          <w:marTop w:val="0"/>
          <w:marBottom w:val="0"/>
          <w:divBdr>
            <w:top w:val="none" w:sz="0" w:space="0" w:color="auto"/>
            <w:left w:val="none" w:sz="0" w:space="0" w:color="auto"/>
            <w:bottom w:val="none" w:sz="0" w:space="0" w:color="auto"/>
            <w:right w:val="none" w:sz="0" w:space="0" w:color="auto"/>
          </w:divBdr>
        </w:div>
        <w:div w:id="1486898292">
          <w:marLeft w:val="0"/>
          <w:marRight w:val="0"/>
          <w:marTop w:val="0"/>
          <w:marBottom w:val="0"/>
          <w:divBdr>
            <w:top w:val="none" w:sz="0" w:space="0" w:color="auto"/>
            <w:left w:val="none" w:sz="0" w:space="0" w:color="auto"/>
            <w:bottom w:val="none" w:sz="0" w:space="0" w:color="auto"/>
            <w:right w:val="none" w:sz="0" w:space="0" w:color="auto"/>
          </w:divBdr>
        </w:div>
        <w:div w:id="1495417587">
          <w:marLeft w:val="0"/>
          <w:marRight w:val="0"/>
          <w:marTop w:val="0"/>
          <w:marBottom w:val="0"/>
          <w:divBdr>
            <w:top w:val="none" w:sz="0" w:space="0" w:color="auto"/>
            <w:left w:val="none" w:sz="0" w:space="0" w:color="auto"/>
            <w:bottom w:val="none" w:sz="0" w:space="0" w:color="auto"/>
            <w:right w:val="none" w:sz="0" w:space="0" w:color="auto"/>
          </w:divBdr>
        </w:div>
        <w:div w:id="1500542970">
          <w:marLeft w:val="0"/>
          <w:marRight w:val="0"/>
          <w:marTop w:val="0"/>
          <w:marBottom w:val="0"/>
          <w:divBdr>
            <w:top w:val="none" w:sz="0" w:space="0" w:color="auto"/>
            <w:left w:val="none" w:sz="0" w:space="0" w:color="auto"/>
            <w:bottom w:val="none" w:sz="0" w:space="0" w:color="auto"/>
            <w:right w:val="none" w:sz="0" w:space="0" w:color="auto"/>
          </w:divBdr>
        </w:div>
        <w:div w:id="1522082453">
          <w:marLeft w:val="0"/>
          <w:marRight w:val="0"/>
          <w:marTop w:val="0"/>
          <w:marBottom w:val="0"/>
          <w:divBdr>
            <w:top w:val="none" w:sz="0" w:space="0" w:color="auto"/>
            <w:left w:val="none" w:sz="0" w:space="0" w:color="auto"/>
            <w:bottom w:val="none" w:sz="0" w:space="0" w:color="auto"/>
            <w:right w:val="none" w:sz="0" w:space="0" w:color="auto"/>
          </w:divBdr>
        </w:div>
        <w:div w:id="1661495675">
          <w:marLeft w:val="0"/>
          <w:marRight w:val="0"/>
          <w:marTop w:val="0"/>
          <w:marBottom w:val="0"/>
          <w:divBdr>
            <w:top w:val="none" w:sz="0" w:space="0" w:color="auto"/>
            <w:left w:val="none" w:sz="0" w:space="0" w:color="auto"/>
            <w:bottom w:val="none" w:sz="0" w:space="0" w:color="auto"/>
            <w:right w:val="none" w:sz="0" w:space="0" w:color="auto"/>
          </w:divBdr>
        </w:div>
        <w:div w:id="1670323877">
          <w:marLeft w:val="0"/>
          <w:marRight w:val="0"/>
          <w:marTop w:val="0"/>
          <w:marBottom w:val="0"/>
          <w:divBdr>
            <w:top w:val="none" w:sz="0" w:space="0" w:color="auto"/>
            <w:left w:val="none" w:sz="0" w:space="0" w:color="auto"/>
            <w:bottom w:val="none" w:sz="0" w:space="0" w:color="auto"/>
            <w:right w:val="none" w:sz="0" w:space="0" w:color="auto"/>
          </w:divBdr>
        </w:div>
        <w:div w:id="1685814508">
          <w:marLeft w:val="0"/>
          <w:marRight w:val="0"/>
          <w:marTop w:val="0"/>
          <w:marBottom w:val="0"/>
          <w:divBdr>
            <w:top w:val="none" w:sz="0" w:space="0" w:color="auto"/>
            <w:left w:val="none" w:sz="0" w:space="0" w:color="auto"/>
            <w:bottom w:val="none" w:sz="0" w:space="0" w:color="auto"/>
            <w:right w:val="none" w:sz="0" w:space="0" w:color="auto"/>
          </w:divBdr>
        </w:div>
        <w:div w:id="1699427013">
          <w:marLeft w:val="0"/>
          <w:marRight w:val="0"/>
          <w:marTop w:val="0"/>
          <w:marBottom w:val="0"/>
          <w:divBdr>
            <w:top w:val="none" w:sz="0" w:space="0" w:color="auto"/>
            <w:left w:val="none" w:sz="0" w:space="0" w:color="auto"/>
            <w:bottom w:val="none" w:sz="0" w:space="0" w:color="auto"/>
            <w:right w:val="none" w:sz="0" w:space="0" w:color="auto"/>
          </w:divBdr>
        </w:div>
        <w:div w:id="1713653823">
          <w:marLeft w:val="0"/>
          <w:marRight w:val="0"/>
          <w:marTop w:val="0"/>
          <w:marBottom w:val="0"/>
          <w:divBdr>
            <w:top w:val="none" w:sz="0" w:space="0" w:color="auto"/>
            <w:left w:val="none" w:sz="0" w:space="0" w:color="auto"/>
            <w:bottom w:val="none" w:sz="0" w:space="0" w:color="auto"/>
            <w:right w:val="none" w:sz="0" w:space="0" w:color="auto"/>
          </w:divBdr>
        </w:div>
        <w:div w:id="1729576259">
          <w:marLeft w:val="0"/>
          <w:marRight w:val="0"/>
          <w:marTop w:val="0"/>
          <w:marBottom w:val="0"/>
          <w:divBdr>
            <w:top w:val="none" w:sz="0" w:space="0" w:color="auto"/>
            <w:left w:val="none" w:sz="0" w:space="0" w:color="auto"/>
            <w:bottom w:val="none" w:sz="0" w:space="0" w:color="auto"/>
            <w:right w:val="none" w:sz="0" w:space="0" w:color="auto"/>
          </w:divBdr>
        </w:div>
        <w:div w:id="1769498534">
          <w:marLeft w:val="0"/>
          <w:marRight w:val="0"/>
          <w:marTop w:val="0"/>
          <w:marBottom w:val="0"/>
          <w:divBdr>
            <w:top w:val="none" w:sz="0" w:space="0" w:color="auto"/>
            <w:left w:val="none" w:sz="0" w:space="0" w:color="auto"/>
            <w:bottom w:val="none" w:sz="0" w:space="0" w:color="auto"/>
            <w:right w:val="none" w:sz="0" w:space="0" w:color="auto"/>
          </w:divBdr>
        </w:div>
        <w:div w:id="1785147807">
          <w:marLeft w:val="0"/>
          <w:marRight w:val="0"/>
          <w:marTop w:val="0"/>
          <w:marBottom w:val="0"/>
          <w:divBdr>
            <w:top w:val="none" w:sz="0" w:space="0" w:color="auto"/>
            <w:left w:val="none" w:sz="0" w:space="0" w:color="auto"/>
            <w:bottom w:val="none" w:sz="0" w:space="0" w:color="auto"/>
            <w:right w:val="none" w:sz="0" w:space="0" w:color="auto"/>
          </w:divBdr>
        </w:div>
        <w:div w:id="1839535763">
          <w:marLeft w:val="0"/>
          <w:marRight w:val="0"/>
          <w:marTop w:val="0"/>
          <w:marBottom w:val="0"/>
          <w:divBdr>
            <w:top w:val="none" w:sz="0" w:space="0" w:color="auto"/>
            <w:left w:val="none" w:sz="0" w:space="0" w:color="auto"/>
            <w:bottom w:val="none" w:sz="0" w:space="0" w:color="auto"/>
            <w:right w:val="none" w:sz="0" w:space="0" w:color="auto"/>
          </w:divBdr>
        </w:div>
        <w:div w:id="1845589786">
          <w:marLeft w:val="0"/>
          <w:marRight w:val="0"/>
          <w:marTop w:val="0"/>
          <w:marBottom w:val="0"/>
          <w:divBdr>
            <w:top w:val="none" w:sz="0" w:space="0" w:color="auto"/>
            <w:left w:val="none" w:sz="0" w:space="0" w:color="auto"/>
            <w:bottom w:val="none" w:sz="0" w:space="0" w:color="auto"/>
            <w:right w:val="none" w:sz="0" w:space="0" w:color="auto"/>
          </w:divBdr>
        </w:div>
        <w:div w:id="1933202111">
          <w:marLeft w:val="0"/>
          <w:marRight w:val="0"/>
          <w:marTop w:val="0"/>
          <w:marBottom w:val="0"/>
          <w:divBdr>
            <w:top w:val="none" w:sz="0" w:space="0" w:color="auto"/>
            <w:left w:val="none" w:sz="0" w:space="0" w:color="auto"/>
            <w:bottom w:val="none" w:sz="0" w:space="0" w:color="auto"/>
            <w:right w:val="none" w:sz="0" w:space="0" w:color="auto"/>
          </w:divBdr>
        </w:div>
        <w:div w:id="1948459624">
          <w:marLeft w:val="0"/>
          <w:marRight w:val="0"/>
          <w:marTop w:val="0"/>
          <w:marBottom w:val="0"/>
          <w:divBdr>
            <w:top w:val="none" w:sz="0" w:space="0" w:color="auto"/>
            <w:left w:val="none" w:sz="0" w:space="0" w:color="auto"/>
            <w:bottom w:val="none" w:sz="0" w:space="0" w:color="auto"/>
            <w:right w:val="none" w:sz="0" w:space="0" w:color="auto"/>
          </w:divBdr>
        </w:div>
        <w:div w:id="1963613537">
          <w:marLeft w:val="0"/>
          <w:marRight w:val="0"/>
          <w:marTop w:val="0"/>
          <w:marBottom w:val="0"/>
          <w:divBdr>
            <w:top w:val="none" w:sz="0" w:space="0" w:color="auto"/>
            <w:left w:val="none" w:sz="0" w:space="0" w:color="auto"/>
            <w:bottom w:val="none" w:sz="0" w:space="0" w:color="auto"/>
            <w:right w:val="none" w:sz="0" w:space="0" w:color="auto"/>
          </w:divBdr>
        </w:div>
        <w:div w:id="1984575766">
          <w:marLeft w:val="0"/>
          <w:marRight w:val="0"/>
          <w:marTop w:val="0"/>
          <w:marBottom w:val="0"/>
          <w:divBdr>
            <w:top w:val="none" w:sz="0" w:space="0" w:color="auto"/>
            <w:left w:val="none" w:sz="0" w:space="0" w:color="auto"/>
            <w:bottom w:val="none" w:sz="0" w:space="0" w:color="auto"/>
            <w:right w:val="none" w:sz="0" w:space="0" w:color="auto"/>
          </w:divBdr>
        </w:div>
        <w:div w:id="2047364236">
          <w:marLeft w:val="0"/>
          <w:marRight w:val="0"/>
          <w:marTop w:val="0"/>
          <w:marBottom w:val="0"/>
          <w:divBdr>
            <w:top w:val="none" w:sz="0" w:space="0" w:color="auto"/>
            <w:left w:val="none" w:sz="0" w:space="0" w:color="auto"/>
            <w:bottom w:val="none" w:sz="0" w:space="0" w:color="auto"/>
            <w:right w:val="none" w:sz="0" w:space="0" w:color="auto"/>
          </w:divBdr>
        </w:div>
        <w:div w:id="2115664829">
          <w:marLeft w:val="0"/>
          <w:marRight w:val="0"/>
          <w:marTop w:val="0"/>
          <w:marBottom w:val="0"/>
          <w:divBdr>
            <w:top w:val="none" w:sz="0" w:space="0" w:color="auto"/>
            <w:left w:val="none" w:sz="0" w:space="0" w:color="auto"/>
            <w:bottom w:val="none" w:sz="0" w:space="0" w:color="auto"/>
            <w:right w:val="none" w:sz="0" w:space="0" w:color="auto"/>
          </w:divBdr>
        </w:div>
      </w:divsChild>
    </w:div>
    <w:div w:id="729765599">
      <w:bodyDiv w:val="1"/>
      <w:marLeft w:val="0"/>
      <w:marRight w:val="0"/>
      <w:marTop w:val="0"/>
      <w:marBottom w:val="0"/>
      <w:divBdr>
        <w:top w:val="none" w:sz="0" w:space="0" w:color="auto"/>
        <w:left w:val="none" w:sz="0" w:space="0" w:color="auto"/>
        <w:bottom w:val="none" w:sz="0" w:space="0" w:color="auto"/>
        <w:right w:val="none" w:sz="0" w:space="0" w:color="auto"/>
      </w:divBdr>
    </w:div>
    <w:div w:id="735855760">
      <w:bodyDiv w:val="1"/>
      <w:marLeft w:val="0"/>
      <w:marRight w:val="0"/>
      <w:marTop w:val="0"/>
      <w:marBottom w:val="0"/>
      <w:divBdr>
        <w:top w:val="none" w:sz="0" w:space="0" w:color="auto"/>
        <w:left w:val="none" w:sz="0" w:space="0" w:color="auto"/>
        <w:bottom w:val="none" w:sz="0" w:space="0" w:color="auto"/>
        <w:right w:val="none" w:sz="0" w:space="0" w:color="auto"/>
      </w:divBdr>
      <w:divsChild>
        <w:div w:id="1118648606">
          <w:marLeft w:val="0"/>
          <w:marRight w:val="0"/>
          <w:marTop w:val="0"/>
          <w:marBottom w:val="0"/>
          <w:divBdr>
            <w:top w:val="none" w:sz="0" w:space="0" w:color="auto"/>
            <w:left w:val="none" w:sz="0" w:space="0" w:color="auto"/>
            <w:bottom w:val="none" w:sz="0" w:space="0" w:color="auto"/>
            <w:right w:val="none" w:sz="0" w:space="0" w:color="auto"/>
          </w:divBdr>
        </w:div>
        <w:div w:id="1593511194">
          <w:marLeft w:val="0"/>
          <w:marRight w:val="0"/>
          <w:marTop w:val="0"/>
          <w:marBottom w:val="0"/>
          <w:divBdr>
            <w:top w:val="none" w:sz="0" w:space="0" w:color="auto"/>
            <w:left w:val="none" w:sz="0" w:space="0" w:color="auto"/>
            <w:bottom w:val="none" w:sz="0" w:space="0" w:color="auto"/>
            <w:right w:val="none" w:sz="0" w:space="0" w:color="auto"/>
          </w:divBdr>
        </w:div>
      </w:divsChild>
    </w:div>
    <w:div w:id="769812352">
      <w:bodyDiv w:val="1"/>
      <w:marLeft w:val="0"/>
      <w:marRight w:val="0"/>
      <w:marTop w:val="0"/>
      <w:marBottom w:val="0"/>
      <w:divBdr>
        <w:top w:val="none" w:sz="0" w:space="0" w:color="auto"/>
        <w:left w:val="none" w:sz="0" w:space="0" w:color="auto"/>
        <w:bottom w:val="none" w:sz="0" w:space="0" w:color="auto"/>
        <w:right w:val="none" w:sz="0" w:space="0" w:color="auto"/>
      </w:divBdr>
      <w:divsChild>
        <w:div w:id="1284581120">
          <w:marLeft w:val="0"/>
          <w:marRight w:val="0"/>
          <w:marTop w:val="0"/>
          <w:marBottom w:val="0"/>
          <w:divBdr>
            <w:top w:val="none" w:sz="0" w:space="0" w:color="auto"/>
            <w:left w:val="none" w:sz="0" w:space="0" w:color="auto"/>
            <w:bottom w:val="none" w:sz="0" w:space="0" w:color="auto"/>
            <w:right w:val="none" w:sz="0" w:space="0" w:color="auto"/>
          </w:divBdr>
        </w:div>
        <w:div w:id="1320429515">
          <w:marLeft w:val="0"/>
          <w:marRight w:val="0"/>
          <w:marTop w:val="0"/>
          <w:marBottom w:val="0"/>
          <w:divBdr>
            <w:top w:val="none" w:sz="0" w:space="0" w:color="auto"/>
            <w:left w:val="none" w:sz="0" w:space="0" w:color="auto"/>
            <w:bottom w:val="none" w:sz="0" w:space="0" w:color="auto"/>
            <w:right w:val="none" w:sz="0" w:space="0" w:color="auto"/>
          </w:divBdr>
        </w:div>
        <w:div w:id="1634603475">
          <w:marLeft w:val="0"/>
          <w:marRight w:val="0"/>
          <w:marTop w:val="0"/>
          <w:marBottom w:val="0"/>
          <w:divBdr>
            <w:top w:val="none" w:sz="0" w:space="0" w:color="auto"/>
            <w:left w:val="none" w:sz="0" w:space="0" w:color="auto"/>
            <w:bottom w:val="none" w:sz="0" w:space="0" w:color="auto"/>
            <w:right w:val="none" w:sz="0" w:space="0" w:color="auto"/>
          </w:divBdr>
        </w:div>
      </w:divsChild>
    </w:div>
    <w:div w:id="835615305">
      <w:bodyDiv w:val="1"/>
      <w:marLeft w:val="0"/>
      <w:marRight w:val="0"/>
      <w:marTop w:val="0"/>
      <w:marBottom w:val="0"/>
      <w:divBdr>
        <w:top w:val="none" w:sz="0" w:space="0" w:color="auto"/>
        <w:left w:val="none" w:sz="0" w:space="0" w:color="auto"/>
        <w:bottom w:val="none" w:sz="0" w:space="0" w:color="auto"/>
        <w:right w:val="none" w:sz="0" w:space="0" w:color="auto"/>
      </w:divBdr>
      <w:divsChild>
        <w:div w:id="164438019">
          <w:marLeft w:val="0"/>
          <w:marRight w:val="0"/>
          <w:marTop w:val="0"/>
          <w:marBottom w:val="0"/>
          <w:divBdr>
            <w:top w:val="none" w:sz="0" w:space="0" w:color="auto"/>
            <w:left w:val="none" w:sz="0" w:space="0" w:color="auto"/>
            <w:bottom w:val="none" w:sz="0" w:space="0" w:color="auto"/>
            <w:right w:val="none" w:sz="0" w:space="0" w:color="auto"/>
          </w:divBdr>
        </w:div>
        <w:div w:id="186410955">
          <w:marLeft w:val="0"/>
          <w:marRight w:val="0"/>
          <w:marTop w:val="0"/>
          <w:marBottom w:val="0"/>
          <w:divBdr>
            <w:top w:val="none" w:sz="0" w:space="0" w:color="auto"/>
            <w:left w:val="none" w:sz="0" w:space="0" w:color="auto"/>
            <w:bottom w:val="none" w:sz="0" w:space="0" w:color="auto"/>
            <w:right w:val="none" w:sz="0" w:space="0" w:color="auto"/>
          </w:divBdr>
        </w:div>
        <w:div w:id="1959680123">
          <w:marLeft w:val="0"/>
          <w:marRight w:val="0"/>
          <w:marTop w:val="0"/>
          <w:marBottom w:val="0"/>
          <w:divBdr>
            <w:top w:val="none" w:sz="0" w:space="0" w:color="auto"/>
            <w:left w:val="none" w:sz="0" w:space="0" w:color="auto"/>
            <w:bottom w:val="none" w:sz="0" w:space="0" w:color="auto"/>
            <w:right w:val="none" w:sz="0" w:space="0" w:color="auto"/>
          </w:divBdr>
        </w:div>
      </w:divsChild>
    </w:div>
    <w:div w:id="875776344">
      <w:bodyDiv w:val="1"/>
      <w:marLeft w:val="0"/>
      <w:marRight w:val="0"/>
      <w:marTop w:val="0"/>
      <w:marBottom w:val="0"/>
      <w:divBdr>
        <w:top w:val="none" w:sz="0" w:space="0" w:color="auto"/>
        <w:left w:val="none" w:sz="0" w:space="0" w:color="auto"/>
        <w:bottom w:val="none" w:sz="0" w:space="0" w:color="auto"/>
        <w:right w:val="none" w:sz="0" w:space="0" w:color="auto"/>
      </w:divBdr>
    </w:div>
    <w:div w:id="904098084">
      <w:bodyDiv w:val="1"/>
      <w:marLeft w:val="0"/>
      <w:marRight w:val="0"/>
      <w:marTop w:val="0"/>
      <w:marBottom w:val="0"/>
      <w:divBdr>
        <w:top w:val="none" w:sz="0" w:space="0" w:color="auto"/>
        <w:left w:val="none" w:sz="0" w:space="0" w:color="auto"/>
        <w:bottom w:val="none" w:sz="0" w:space="0" w:color="auto"/>
        <w:right w:val="none" w:sz="0" w:space="0" w:color="auto"/>
      </w:divBdr>
    </w:div>
    <w:div w:id="908922100">
      <w:bodyDiv w:val="1"/>
      <w:marLeft w:val="0"/>
      <w:marRight w:val="0"/>
      <w:marTop w:val="0"/>
      <w:marBottom w:val="0"/>
      <w:divBdr>
        <w:top w:val="none" w:sz="0" w:space="0" w:color="auto"/>
        <w:left w:val="none" w:sz="0" w:space="0" w:color="auto"/>
        <w:bottom w:val="none" w:sz="0" w:space="0" w:color="auto"/>
        <w:right w:val="none" w:sz="0" w:space="0" w:color="auto"/>
      </w:divBdr>
    </w:div>
    <w:div w:id="927427988">
      <w:bodyDiv w:val="1"/>
      <w:marLeft w:val="0"/>
      <w:marRight w:val="0"/>
      <w:marTop w:val="0"/>
      <w:marBottom w:val="0"/>
      <w:divBdr>
        <w:top w:val="none" w:sz="0" w:space="0" w:color="auto"/>
        <w:left w:val="none" w:sz="0" w:space="0" w:color="auto"/>
        <w:bottom w:val="none" w:sz="0" w:space="0" w:color="auto"/>
        <w:right w:val="none" w:sz="0" w:space="0" w:color="auto"/>
      </w:divBdr>
      <w:divsChild>
        <w:div w:id="1675062513">
          <w:marLeft w:val="0"/>
          <w:marRight w:val="0"/>
          <w:marTop w:val="0"/>
          <w:marBottom w:val="0"/>
          <w:divBdr>
            <w:top w:val="none" w:sz="0" w:space="0" w:color="auto"/>
            <w:left w:val="none" w:sz="0" w:space="0" w:color="auto"/>
            <w:bottom w:val="none" w:sz="0" w:space="0" w:color="auto"/>
            <w:right w:val="none" w:sz="0" w:space="0" w:color="auto"/>
          </w:divBdr>
        </w:div>
        <w:div w:id="1971324753">
          <w:marLeft w:val="0"/>
          <w:marRight w:val="0"/>
          <w:marTop w:val="0"/>
          <w:marBottom w:val="0"/>
          <w:divBdr>
            <w:top w:val="none" w:sz="0" w:space="0" w:color="auto"/>
            <w:left w:val="none" w:sz="0" w:space="0" w:color="auto"/>
            <w:bottom w:val="none" w:sz="0" w:space="0" w:color="auto"/>
            <w:right w:val="none" w:sz="0" w:space="0" w:color="auto"/>
          </w:divBdr>
        </w:div>
      </w:divsChild>
    </w:div>
    <w:div w:id="935789058">
      <w:bodyDiv w:val="1"/>
      <w:marLeft w:val="0"/>
      <w:marRight w:val="0"/>
      <w:marTop w:val="0"/>
      <w:marBottom w:val="0"/>
      <w:divBdr>
        <w:top w:val="none" w:sz="0" w:space="0" w:color="auto"/>
        <w:left w:val="none" w:sz="0" w:space="0" w:color="auto"/>
        <w:bottom w:val="none" w:sz="0" w:space="0" w:color="auto"/>
        <w:right w:val="none" w:sz="0" w:space="0" w:color="auto"/>
      </w:divBdr>
    </w:div>
    <w:div w:id="951475434">
      <w:bodyDiv w:val="1"/>
      <w:marLeft w:val="0"/>
      <w:marRight w:val="0"/>
      <w:marTop w:val="0"/>
      <w:marBottom w:val="0"/>
      <w:divBdr>
        <w:top w:val="none" w:sz="0" w:space="0" w:color="auto"/>
        <w:left w:val="none" w:sz="0" w:space="0" w:color="auto"/>
        <w:bottom w:val="none" w:sz="0" w:space="0" w:color="auto"/>
        <w:right w:val="none" w:sz="0" w:space="0" w:color="auto"/>
      </w:divBdr>
    </w:div>
    <w:div w:id="976571716">
      <w:bodyDiv w:val="1"/>
      <w:marLeft w:val="0"/>
      <w:marRight w:val="0"/>
      <w:marTop w:val="0"/>
      <w:marBottom w:val="0"/>
      <w:divBdr>
        <w:top w:val="none" w:sz="0" w:space="0" w:color="auto"/>
        <w:left w:val="none" w:sz="0" w:space="0" w:color="auto"/>
        <w:bottom w:val="none" w:sz="0" w:space="0" w:color="auto"/>
        <w:right w:val="none" w:sz="0" w:space="0" w:color="auto"/>
      </w:divBdr>
      <w:divsChild>
        <w:div w:id="536282247">
          <w:marLeft w:val="0"/>
          <w:marRight w:val="0"/>
          <w:marTop w:val="0"/>
          <w:marBottom w:val="0"/>
          <w:divBdr>
            <w:top w:val="none" w:sz="0" w:space="0" w:color="auto"/>
            <w:left w:val="none" w:sz="0" w:space="0" w:color="auto"/>
            <w:bottom w:val="none" w:sz="0" w:space="0" w:color="auto"/>
            <w:right w:val="none" w:sz="0" w:space="0" w:color="auto"/>
          </w:divBdr>
        </w:div>
        <w:div w:id="1197934236">
          <w:marLeft w:val="0"/>
          <w:marRight w:val="0"/>
          <w:marTop w:val="0"/>
          <w:marBottom w:val="0"/>
          <w:divBdr>
            <w:top w:val="none" w:sz="0" w:space="0" w:color="auto"/>
            <w:left w:val="none" w:sz="0" w:space="0" w:color="auto"/>
            <w:bottom w:val="none" w:sz="0" w:space="0" w:color="auto"/>
            <w:right w:val="none" w:sz="0" w:space="0" w:color="auto"/>
          </w:divBdr>
        </w:div>
      </w:divsChild>
    </w:div>
    <w:div w:id="987976260">
      <w:bodyDiv w:val="1"/>
      <w:marLeft w:val="0"/>
      <w:marRight w:val="0"/>
      <w:marTop w:val="0"/>
      <w:marBottom w:val="0"/>
      <w:divBdr>
        <w:top w:val="none" w:sz="0" w:space="0" w:color="auto"/>
        <w:left w:val="none" w:sz="0" w:space="0" w:color="auto"/>
        <w:bottom w:val="none" w:sz="0" w:space="0" w:color="auto"/>
        <w:right w:val="none" w:sz="0" w:space="0" w:color="auto"/>
      </w:divBdr>
    </w:div>
    <w:div w:id="987980157">
      <w:bodyDiv w:val="1"/>
      <w:marLeft w:val="0"/>
      <w:marRight w:val="0"/>
      <w:marTop w:val="0"/>
      <w:marBottom w:val="0"/>
      <w:divBdr>
        <w:top w:val="none" w:sz="0" w:space="0" w:color="auto"/>
        <w:left w:val="none" w:sz="0" w:space="0" w:color="auto"/>
        <w:bottom w:val="none" w:sz="0" w:space="0" w:color="auto"/>
        <w:right w:val="none" w:sz="0" w:space="0" w:color="auto"/>
      </w:divBdr>
    </w:div>
    <w:div w:id="1019502722">
      <w:bodyDiv w:val="1"/>
      <w:marLeft w:val="0"/>
      <w:marRight w:val="0"/>
      <w:marTop w:val="0"/>
      <w:marBottom w:val="0"/>
      <w:divBdr>
        <w:top w:val="none" w:sz="0" w:space="0" w:color="auto"/>
        <w:left w:val="none" w:sz="0" w:space="0" w:color="auto"/>
        <w:bottom w:val="none" w:sz="0" w:space="0" w:color="auto"/>
        <w:right w:val="none" w:sz="0" w:space="0" w:color="auto"/>
      </w:divBdr>
    </w:div>
    <w:div w:id="1079988215">
      <w:bodyDiv w:val="1"/>
      <w:marLeft w:val="0"/>
      <w:marRight w:val="0"/>
      <w:marTop w:val="0"/>
      <w:marBottom w:val="0"/>
      <w:divBdr>
        <w:top w:val="none" w:sz="0" w:space="0" w:color="auto"/>
        <w:left w:val="none" w:sz="0" w:space="0" w:color="auto"/>
        <w:bottom w:val="none" w:sz="0" w:space="0" w:color="auto"/>
        <w:right w:val="none" w:sz="0" w:space="0" w:color="auto"/>
      </w:divBdr>
    </w:div>
    <w:div w:id="1099519178">
      <w:bodyDiv w:val="1"/>
      <w:marLeft w:val="0"/>
      <w:marRight w:val="0"/>
      <w:marTop w:val="0"/>
      <w:marBottom w:val="0"/>
      <w:divBdr>
        <w:top w:val="none" w:sz="0" w:space="0" w:color="auto"/>
        <w:left w:val="none" w:sz="0" w:space="0" w:color="auto"/>
        <w:bottom w:val="none" w:sz="0" w:space="0" w:color="auto"/>
        <w:right w:val="none" w:sz="0" w:space="0" w:color="auto"/>
      </w:divBdr>
    </w:div>
    <w:div w:id="1102728013">
      <w:bodyDiv w:val="1"/>
      <w:marLeft w:val="0"/>
      <w:marRight w:val="0"/>
      <w:marTop w:val="0"/>
      <w:marBottom w:val="0"/>
      <w:divBdr>
        <w:top w:val="none" w:sz="0" w:space="0" w:color="auto"/>
        <w:left w:val="none" w:sz="0" w:space="0" w:color="auto"/>
        <w:bottom w:val="none" w:sz="0" w:space="0" w:color="auto"/>
        <w:right w:val="none" w:sz="0" w:space="0" w:color="auto"/>
      </w:divBdr>
    </w:div>
    <w:div w:id="1106971682">
      <w:bodyDiv w:val="1"/>
      <w:marLeft w:val="0"/>
      <w:marRight w:val="0"/>
      <w:marTop w:val="0"/>
      <w:marBottom w:val="0"/>
      <w:divBdr>
        <w:top w:val="none" w:sz="0" w:space="0" w:color="auto"/>
        <w:left w:val="none" w:sz="0" w:space="0" w:color="auto"/>
        <w:bottom w:val="none" w:sz="0" w:space="0" w:color="auto"/>
        <w:right w:val="none" w:sz="0" w:space="0" w:color="auto"/>
      </w:divBdr>
    </w:div>
    <w:div w:id="1130128456">
      <w:bodyDiv w:val="1"/>
      <w:marLeft w:val="0"/>
      <w:marRight w:val="0"/>
      <w:marTop w:val="0"/>
      <w:marBottom w:val="0"/>
      <w:divBdr>
        <w:top w:val="none" w:sz="0" w:space="0" w:color="auto"/>
        <w:left w:val="none" w:sz="0" w:space="0" w:color="auto"/>
        <w:bottom w:val="none" w:sz="0" w:space="0" w:color="auto"/>
        <w:right w:val="none" w:sz="0" w:space="0" w:color="auto"/>
      </w:divBdr>
      <w:divsChild>
        <w:div w:id="1659847196">
          <w:marLeft w:val="0"/>
          <w:marRight w:val="0"/>
          <w:marTop w:val="0"/>
          <w:marBottom w:val="0"/>
          <w:divBdr>
            <w:top w:val="none" w:sz="0" w:space="0" w:color="auto"/>
            <w:left w:val="none" w:sz="0" w:space="0" w:color="auto"/>
            <w:bottom w:val="none" w:sz="0" w:space="0" w:color="auto"/>
            <w:right w:val="none" w:sz="0" w:space="0" w:color="auto"/>
          </w:divBdr>
        </w:div>
        <w:div w:id="2103989653">
          <w:marLeft w:val="0"/>
          <w:marRight w:val="0"/>
          <w:marTop w:val="0"/>
          <w:marBottom w:val="0"/>
          <w:divBdr>
            <w:top w:val="none" w:sz="0" w:space="0" w:color="auto"/>
            <w:left w:val="none" w:sz="0" w:space="0" w:color="auto"/>
            <w:bottom w:val="none" w:sz="0" w:space="0" w:color="auto"/>
            <w:right w:val="none" w:sz="0" w:space="0" w:color="auto"/>
          </w:divBdr>
        </w:div>
      </w:divsChild>
    </w:div>
    <w:div w:id="1170675341">
      <w:bodyDiv w:val="1"/>
      <w:marLeft w:val="0"/>
      <w:marRight w:val="0"/>
      <w:marTop w:val="0"/>
      <w:marBottom w:val="0"/>
      <w:divBdr>
        <w:top w:val="none" w:sz="0" w:space="0" w:color="auto"/>
        <w:left w:val="none" w:sz="0" w:space="0" w:color="auto"/>
        <w:bottom w:val="none" w:sz="0" w:space="0" w:color="auto"/>
        <w:right w:val="none" w:sz="0" w:space="0" w:color="auto"/>
      </w:divBdr>
    </w:div>
    <w:div w:id="1181897476">
      <w:bodyDiv w:val="1"/>
      <w:marLeft w:val="0"/>
      <w:marRight w:val="0"/>
      <w:marTop w:val="0"/>
      <w:marBottom w:val="0"/>
      <w:divBdr>
        <w:top w:val="none" w:sz="0" w:space="0" w:color="auto"/>
        <w:left w:val="none" w:sz="0" w:space="0" w:color="auto"/>
        <w:bottom w:val="none" w:sz="0" w:space="0" w:color="auto"/>
        <w:right w:val="none" w:sz="0" w:space="0" w:color="auto"/>
      </w:divBdr>
    </w:div>
    <w:div w:id="1184443585">
      <w:bodyDiv w:val="1"/>
      <w:marLeft w:val="0"/>
      <w:marRight w:val="0"/>
      <w:marTop w:val="0"/>
      <w:marBottom w:val="0"/>
      <w:divBdr>
        <w:top w:val="none" w:sz="0" w:space="0" w:color="auto"/>
        <w:left w:val="none" w:sz="0" w:space="0" w:color="auto"/>
        <w:bottom w:val="none" w:sz="0" w:space="0" w:color="auto"/>
        <w:right w:val="none" w:sz="0" w:space="0" w:color="auto"/>
      </w:divBdr>
      <w:divsChild>
        <w:div w:id="632173296">
          <w:marLeft w:val="0"/>
          <w:marRight w:val="0"/>
          <w:marTop w:val="0"/>
          <w:marBottom w:val="0"/>
          <w:divBdr>
            <w:top w:val="none" w:sz="0" w:space="0" w:color="auto"/>
            <w:left w:val="none" w:sz="0" w:space="0" w:color="auto"/>
            <w:bottom w:val="none" w:sz="0" w:space="0" w:color="auto"/>
            <w:right w:val="none" w:sz="0" w:space="0" w:color="auto"/>
          </w:divBdr>
        </w:div>
        <w:div w:id="889801799">
          <w:marLeft w:val="0"/>
          <w:marRight w:val="0"/>
          <w:marTop w:val="0"/>
          <w:marBottom w:val="0"/>
          <w:divBdr>
            <w:top w:val="none" w:sz="0" w:space="0" w:color="auto"/>
            <w:left w:val="none" w:sz="0" w:space="0" w:color="auto"/>
            <w:bottom w:val="none" w:sz="0" w:space="0" w:color="auto"/>
            <w:right w:val="none" w:sz="0" w:space="0" w:color="auto"/>
          </w:divBdr>
        </w:div>
        <w:div w:id="1807431369">
          <w:marLeft w:val="0"/>
          <w:marRight w:val="0"/>
          <w:marTop w:val="0"/>
          <w:marBottom w:val="0"/>
          <w:divBdr>
            <w:top w:val="none" w:sz="0" w:space="0" w:color="auto"/>
            <w:left w:val="none" w:sz="0" w:space="0" w:color="auto"/>
            <w:bottom w:val="none" w:sz="0" w:space="0" w:color="auto"/>
            <w:right w:val="none" w:sz="0" w:space="0" w:color="auto"/>
          </w:divBdr>
        </w:div>
      </w:divsChild>
    </w:div>
    <w:div w:id="1203326663">
      <w:bodyDiv w:val="1"/>
      <w:marLeft w:val="0"/>
      <w:marRight w:val="0"/>
      <w:marTop w:val="0"/>
      <w:marBottom w:val="0"/>
      <w:divBdr>
        <w:top w:val="none" w:sz="0" w:space="0" w:color="auto"/>
        <w:left w:val="none" w:sz="0" w:space="0" w:color="auto"/>
        <w:bottom w:val="none" w:sz="0" w:space="0" w:color="auto"/>
        <w:right w:val="none" w:sz="0" w:space="0" w:color="auto"/>
      </w:divBdr>
    </w:div>
    <w:div w:id="1233661381">
      <w:bodyDiv w:val="1"/>
      <w:marLeft w:val="0"/>
      <w:marRight w:val="0"/>
      <w:marTop w:val="0"/>
      <w:marBottom w:val="0"/>
      <w:divBdr>
        <w:top w:val="none" w:sz="0" w:space="0" w:color="auto"/>
        <w:left w:val="none" w:sz="0" w:space="0" w:color="auto"/>
        <w:bottom w:val="none" w:sz="0" w:space="0" w:color="auto"/>
        <w:right w:val="none" w:sz="0" w:space="0" w:color="auto"/>
      </w:divBdr>
    </w:div>
    <w:div w:id="1276641367">
      <w:bodyDiv w:val="1"/>
      <w:marLeft w:val="0"/>
      <w:marRight w:val="0"/>
      <w:marTop w:val="0"/>
      <w:marBottom w:val="0"/>
      <w:divBdr>
        <w:top w:val="none" w:sz="0" w:space="0" w:color="auto"/>
        <w:left w:val="none" w:sz="0" w:space="0" w:color="auto"/>
        <w:bottom w:val="none" w:sz="0" w:space="0" w:color="auto"/>
        <w:right w:val="none" w:sz="0" w:space="0" w:color="auto"/>
      </w:divBdr>
    </w:div>
    <w:div w:id="1323050504">
      <w:bodyDiv w:val="1"/>
      <w:marLeft w:val="0"/>
      <w:marRight w:val="0"/>
      <w:marTop w:val="0"/>
      <w:marBottom w:val="0"/>
      <w:divBdr>
        <w:top w:val="none" w:sz="0" w:space="0" w:color="auto"/>
        <w:left w:val="none" w:sz="0" w:space="0" w:color="auto"/>
        <w:bottom w:val="none" w:sz="0" w:space="0" w:color="auto"/>
        <w:right w:val="none" w:sz="0" w:space="0" w:color="auto"/>
      </w:divBdr>
    </w:div>
    <w:div w:id="1373190578">
      <w:bodyDiv w:val="1"/>
      <w:marLeft w:val="0"/>
      <w:marRight w:val="0"/>
      <w:marTop w:val="0"/>
      <w:marBottom w:val="0"/>
      <w:divBdr>
        <w:top w:val="none" w:sz="0" w:space="0" w:color="auto"/>
        <w:left w:val="none" w:sz="0" w:space="0" w:color="auto"/>
        <w:bottom w:val="none" w:sz="0" w:space="0" w:color="auto"/>
        <w:right w:val="none" w:sz="0" w:space="0" w:color="auto"/>
      </w:divBdr>
    </w:div>
    <w:div w:id="1387948657">
      <w:bodyDiv w:val="1"/>
      <w:marLeft w:val="0"/>
      <w:marRight w:val="0"/>
      <w:marTop w:val="0"/>
      <w:marBottom w:val="0"/>
      <w:divBdr>
        <w:top w:val="none" w:sz="0" w:space="0" w:color="auto"/>
        <w:left w:val="none" w:sz="0" w:space="0" w:color="auto"/>
        <w:bottom w:val="none" w:sz="0" w:space="0" w:color="auto"/>
        <w:right w:val="none" w:sz="0" w:space="0" w:color="auto"/>
      </w:divBdr>
    </w:div>
    <w:div w:id="1429351306">
      <w:bodyDiv w:val="1"/>
      <w:marLeft w:val="0"/>
      <w:marRight w:val="0"/>
      <w:marTop w:val="0"/>
      <w:marBottom w:val="0"/>
      <w:divBdr>
        <w:top w:val="none" w:sz="0" w:space="0" w:color="auto"/>
        <w:left w:val="none" w:sz="0" w:space="0" w:color="auto"/>
        <w:bottom w:val="none" w:sz="0" w:space="0" w:color="auto"/>
        <w:right w:val="none" w:sz="0" w:space="0" w:color="auto"/>
      </w:divBdr>
      <w:divsChild>
        <w:div w:id="724336460">
          <w:marLeft w:val="0"/>
          <w:marRight w:val="0"/>
          <w:marTop w:val="0"/>
          <w:marBottom w:val="0"/>
          <w:divBdr>
            <w:top w:val="none" w:sz="0" w:space="0" w:color="auto"/>
            <w:left w:val="none" w:sz="0" w:space="0" w:color="auto"/>
            <w:bottom w:val="none" w:sz="0" w:space="0" w:color="auto"/>
            <w:right w:val="none" w:sz="0" w:space="0" w:color="auto"/>
          </w:divBdr>
        </w:div>
        <w:div w:id="978264405">
          <w:marLeft w:val="0"/>
          <w:marRight w:val="0"/>
          <w:marTop w:val="0"/>
          <w:marBottom w:val="0"/>
          <w:divBdr>
            <w:top w:val="none" w:sz="0" w:space="0" w:color="auto"/>
            <w:left w:val="none" w:sz="0" w:space="0" w:color="auto"/>
            <w:bottom w:val="none" w:sz="0" w:space="0" w:color="auto"/>
            <w:right w:val="none" w:sz="0" w:space="0" w:color="auto"/>
          </w:divBdr>
        </w:div>
        <w:div w:id="1265113399">
          <w:marLeft w:val="0"/>
          <w:marRight w:val="0"/>
          <w:marTop w:val="0"/>
          <w:marBottom w:val="0"/>
          <w:divBdr>
            <w:top w:val="none" w:sz="0" w:space="0" w:color="auto"/>
            <w:left w:val="none" w:sz="0" w:space="0" w:color="auto"/>
            <w:bottom w:val="none" w:sz="0" w:space="0" w:color="auto"/>
            <w:right w:val="none" w:sz="0" w:space="0" w:color="auto"/>
          </w:divBdr>
        </w:div>
      </w:divsChild>
    </w:div>
    <w:div w:id="1434327556">
      <w:bodyDiv w:val="1"/>
      <w:marLeft w:val="0"/>
      <w:marRight w:val="0"/>
      <w:marTop w:val="0"/>
      <w:marBottom w:val="0"/>
      <w:divBdr>
        <w:top w:val="none" w:sz="0" w:space="0" w:color="auto"/>
        <w:left w:val="none" w:sz="0" w:space="0" w:color="auto"/>
        <w:bottom w:val="none" w:sz="0" w:space="0" w:color="auto"/>
        <w:right w:val="none" w:sz="0" w:space="0" w:color="auto"/>
      </w:divBdr>
    </w:div>
    <w:div w:id="1466269179">
      <w:bodyDiv w:val="1"/>
      <w:marLeft w:val="0"/>
      <w:marRight w:val="0"/>
      <w:marTop w:val="0"/>
      <w:marBottom w:val="0"/>
      <w:divBdr>
        <w:top w:val="none" w:sz="0" w:space="0" w:color="auto"/>
        <w:left w:val="none" w:sz="0" w:space="0" w:color="auto"/>
        <w:bottom w:val="none" w:sz="0" w:space="0" w:color="auto"/>
        <w:right w:val="none" w:sz="0" w:space="0" w:color="auto"/>
      </w:divBdr>
      <w:divsChild>
        <w:div w:id="1027606661">
          <w:marLeft w:val="0"/>
          <w:marRight w:val="0"/>
          <w:marTop w:val="0"/>
          <w:marBottom w:val="0"/>
          <w:divBdr>
            <w:top w:val="none" w:sz="0" w:space="0" w:color="auto"/>
            <w:left w:val="none" w:sz="0" w:space="0" w:color="auto"/>
            <w:bottom w:val="none" w:sz="0" w:space="0" w:color="auto"/>
            <w:right w:val="none" w:sz="0" w:space="0" w:color="auto"/>
          </w:divBdr>
        </w:div>
        <w:div w:id="1758749085">
          <w:marLeft w:val="0"/>
          <w:marRight w:val="0"/>
          <w:marTop w:val="0"/>
          <w:marBottom w:val="0"/>
          <w:divBdr>
            <w:top w:val="none" w:sz="0" w:space="0" w:color="auto"/>
            <w:left w:val="none" w:sz="0" w:space="0" w:color="auto"/>
            <w:bottom w:val="none" w:sz="0" w:space="0" w:color="auto"/>
            <w:right w:val="none" w:sz="0" w:space="0" w:color="auto"/>
          </w:divBdr>
        </w:div>
      </w:divsChild>
    </w:div>
    <w:div w:id="1503542892">
      <w:bodyDiv w:val="1"/>
      <w:marLeft w:val="0"/>
      <w:marRight w:val="0"/>
      <w:marTop w:val="0"/>
      <w:marBottom w:val="0"/>
      <w:divBdr>
        <w:top w:val="none" w:sz="0" w:space="0" w:color="auto"/>
        <w:left w:val="none" w:sz="0" w:space="0" w:color="auto"/>
        <w:bottom w:val="none" w:sz="0" w:space="0" w:color="auto"/>
        <w:right w:val="none" w:sz="0" w:space="0" w:color="auto"/>
      </w:divBdr>
      <w:divsChild>
        <w:div w:id="227568975">
          <w:marLeft w:val="0"/>
          <w:marRight w:val="0"/>
          <w:marTop w:val="0"/>
          <w:marBottom w:val="0"/>
          <w:divBdr>
            <w:top w:val="none" w:sz="0" w:space="0" w:color="auto"/>
            <w:left w:val="none" w:sz="0" w:space="0" w:color="auto"/>
            <w:bottom w:val="none" w:sz="0" w:space="0" w:color="auto"/>
            <w:right w:val="none" w:sz="0" w:space="0" w:color="auto"/>
          </w:divBdr>
          <w:divsChild>
            <w:div w:id="956453719">
              <w:marLeft w:val="0"/>
              <w:marRight w:val="0"/>
              <w:marTop w:val="0"/>
              <w:marBottom w:val="0"/>
              <w:divBdr>
                <w:top w:val="none" w:sz="0" w:space="0" w:color="auto"/>
                <w:left w:val="none" w:sz="0" w:space="0" w:color="auto"/>
                <w:bottom w:val="none" w:sz="0" w:space="0" w:color="auto"/>
                <w:right w:val="none" w:sz="0" w:space="0" w:color="auto"/>
              </w:divBdr>
            </w:div>
            <w:div w:id="1373923784">
              <w:marLeft w:val="0"/>
              <w:marRight w:val="0"/>
              <w:marTop w:val="0"/>
              <w:marBottom w:val="0"/>
              <w:divBdr>
                <w:top w:val="none" w:sz="0" w:space="0" w:color="auto"/>
                <w:left w:val="none" w:sz="0" w:space="0" w:color="auto"/>
                <w:bottom w:val="none" w:sz="0" w:space="0" w:color="auto"/>
                <w:right w:val="none" w:sz="0" w:space="0" w:color="auto"/>
              </w:divBdr>
            </w:div>
            <w:div w:id="1514688725">
              <w:marLeft w:val="0"/>
              <w:marRight w:val="0"/>
              <w:marTop w:val="0"/>
              <w:marBottom w:val="0"/>
              <w:divBdr>
                <w:top w:val="none" w:sz="0" w:space="0" w:color="auto"/>
                <w:left w:val="none" w:sz="0" w:space="0" w:color="auto"/>
                <w:bottom w:val="none" w:sz="0" w:space="0" w:color="auto"/>
                <w:right w:val="none" w:sz="0" w:space="0" w:color="auto"/>
              </w:divBdr>
            </w:div>
          </w:divsChild>
        </w:div>
        <w:div w:id="241064785">
          <w:marLeft w:val="0"/>
          <w:marRight w:val="0"/>
          <w:marTop w:val="0"/>
          <w:marBottom w:val="0"/>
          <w:divBdr>
            <w:top w:val="none" w:sz="0" w:space="0" w:color="auto"/>
            <w:left w:val="none" w:sz="0" w:space="0" w:color="auto"/>
            <w:bottom w:val="none" w:sz="0" w:space="0" w:color="auto"/>
            <w:right w:val="none" w:sz="0" w:space="0" w:color="auto"/>
          </w:divBdr>
          <w:divsChild>
            <w:div w:id="1804731022">
              <w:marLeft w:val="0"/>
              <w:marRight w:val="0"/>
              <w:marTop w:val="0"/>
              <w:marBottom w:val="0"/>
              <w:divBdr>
                <w:top w:val="none" w:sz="0" w:space="0" w:color="auto"/>
                <w:left w:val="none" w:sz="0" w:space="0" w:color="auto"/>
                <w:bottom w:val="none" w:sz="0" w:space="0" w:color="auto"/>
                <w:right w:val="none" w:sz="0" w:space="0" w:color="auto"/>
              </w:divBdr>
            </w:div>
          </w:divsChild>
        </w:div>
        <w:div w:id="446507557">
          <w:marLeft w:val="0"/>
          <w:marRight w:val="0"/>
          <w:marTop w:val="0"/>
          <w:marBottom w:val="0"/>
          <w:divBdr>
            <w:top w:val="none" w:sz="0" w:space="0" w:color="auto"/>
            <w:left w:val="none" w:sz="0" w:space="0" w:color="auto"/>
            <w:bottom w:val="none" w:sz="0" w:space="0" w:color="auto"/>
            <w:right w:val="none" w:sz="0" w:space="0" w:color="auto"/>
          </w:divBdr>
          <w:divsChild>
            <w:div w:id="1200244084">
              <w:marLeft w:val="0"/>
              <w:marRight w:val="0"/>
              <w:marTop w:val="0"/>
              <w:marBottom w:val="0"/>
              <w:divBdr>
                <w:top w:val="none" w:sz="0" w:space="0" w:color="auto"/>
                <w:left w:val="none" w:sz="0" w:space="0" w:color="auto"/>
                <w:bottom w:val="none" w:sz="0" w:space="0" w:color="auto"/>
                <w:right w:val="none" w:sz="0" w:space="0" w:color="auto"/>
              </w:divBdr>
            </w:div>
          </w:divsChild>
        </w:div>
        <w:div w:id="514149354">
          <w:marLeft w:val="0"/>
          <w:marRight w:val="0"/>
          <w:marTop w:val="0"/>
          <w:marBottom w:val="0"/>
          <w:divBdr>
            <w:top w:val="none" w:sz="0" w:space="0" w:color="auto"/>
            <w:left w:val="none" w:sz="0" w:space="0" w:color="auto"/>
            <w:bottom w:val="none" w:sz="0" w:space="0" w:color="auto"/>
            <w:right w:val="none" w:sz="0" w:space="0" w:color="auto"/>
          </w:divBdr>
          <w:divsChild>
            <w:div w:id="649864032">
              <w:marLeft w:val="0"/>
              <w:marRight w:val="0"/>
              <w:marTop w:val="0"/>
              <w:marBottom w:val="0"/>
              <w:divBdr>
                <w:top w:val="none" w:sz="0" w:space="0" w:color="auto"/>
                <w:left w:val="none" w:sz="0" w:space="0" w:color="auto"/>
                <w:bottom w:val="none" w:sz="0" w:space="0" w:color="auto"/>
                <w:right w:val="none" w:sz="0" w:space="0" w:color="auto"/>
              </w:divBdr>
            </w:div>
          </w:divsChild>
        </w:div>
        <w:div w:id="770860038">
          <w:marLeft w:val="0"/>
          <w:marRight w:val="0"/>
          <w:marTop w:val="0"/>
          <w:marBottom w:val="0"/>
          <w:divBdr>
            <w:top w:val="none" w:sz="0" w:space="0" w:color="auto"/>
            <w:left w:val="none" w:sz="0" w:space="0" w:color="auto"/>
            <w:bottom w:val="none" w:sz="0" w:space="0" w:color="auto"/>
            <w:right w:val="none" w:sz="0" w:space="0" w:color="auto"/>
          </w:divBdr>
          <w:divsChild>
            <w:div w:id="12461720">
              <w:marLeft w:val="0"/>
              <w:marRight w:val="0"/>
              <w:marTop w:val="0"/>
              <w:marBottom w:val="0"/>
              <w:divBdr>
                <w:top w:val="none" w:sz="0" w:space="0" w:color="auto"/>
                <w:left w:val="none" w:sz="0" w:space="0" w:color="auto"/>
                <w:bottom w:val="none" w:sz="0" w:space="0" w:color="auto"/>
                <w:right w:val="none" w:sz="0" w:space="0" w:color="auto"/>
              </w:divBdr>
            </w:div>
            <w:div w:id="63455293">
              <w:marLeft w:val="0"/>
              <w:marRight w:val="0"/>
              <w:marTop w:val="0"/>
              <w:marBottom w:val="0"/>
              <w:divBdr>
                <w:top w:val="none" w:sz="0" w:space="0" w:color="auto"/>
                <w:left w:val="none" w:sz="0" w:space="0" w:color="auto"/>
                <w:bottom w:val="none" w:sz="0" w:space="0" w:color="auto"/>
                <w:right w:val="none" w:sz="0" w:space="0" w:color="auto"/>
              </w:divBdr>
            </w:div>
            <w:div w:id="2098011311">
              <w:marLeft w:val="0"/>
              <w:marRight w:val="0"/>
              <w:marTop w:val="0"/>
              <w:marBottom w:val="0"/>
              <w:divBdr>
                <w:top w:val="none" w:sz="0" w:space="0" w:color="auto"/>
                <w:left w:val="none" w:sz="0" w:space="0" w:color="auto"/>
                <w:bottom w:val="none" w:sz="0" w:space="0" w:color="auto"/>
                <w:right w:val="none" w:sz="0" w:space="0" w:color="auto"/>
              </w:divBdr>
            </w:div>
          </w:divsChild>
        </w:div>
        <w:div w:id="814181573">
          <w:marLeft w:val="0"/>
          <w:marRight w:val="0"/>
          <w:marTop w:val="0"/>
          <w:marBottom w:val="0"/>
          <w:divBdr>
            <w:top w:val="none" w:sz="0" w:space="0" w:color="auto"/>
            <w:left w:val="none" w:sz="0" w:space="0" w:color="auto"/>
            <w:bottom w:val="none" w:sz="0" w:space="0" w:color="auto"/>
            <w:right w:val="none" w:sz="0" w:space="0" w:color="auto"/>
          </w:divBdr>
          <w:divsChild>
            <w:div w:id="32461951">
              <w:marLeft w:val="0"/>
              <w:marRight w:val="0"/>
              <w:marTop w:val="0"/>
              <w:marBottom w:val="0"/>
              <w:divBdr>
                <w:top w:val="none" w:sz="0" w:space="0" w:color="auto"/>
                <w:left w:val="none" w:sz="0" w:space="0" w:color="auto"/>
                <w:bottom w:val="none" w:sz="0" w:space="0" w:color="auto"/>
                <w:right w:val="none" w:sz="0" w:space="0" w:color="auto"/>
              </w:divBdr>
            </w:div>
            <w:div w:id="70592011">
              <w:marLeft w:val="0"/>
              <w:marRight w:val="0"/>
              <w:marTop w:val="0"/>
              <w:marBottom w:val="0"/>
              <w:divBdr>
                <w:top w:val="none" w:sz="0" w:space="0" w:color="auto"/>
                <w:left w:val="none" w:sz="0" w:space="0" w:color="auto"/>
                <w:bottom w:val="none" w:sz="0" w:space="0" w:color="auto"/>
                <w:right w:val="none" w:sz="0" w:space="0" w:color="auto"/>
              </w:divBdr>
            </w:div>
            <w:div w:id="98649979">
              <w:marLeft w:val="0"/>
              <w:marRight w:val="0"/>
              <w:marTop w:val="0"/>
              <w:marBottom w:val="0"/>
              <w:divBdr>
                <w:top w:val="none" w:sz="0" w:space="0" w:color="auto"/>
                <w:left w:val="none" w:sz="0" w:space="0" w:color="auto"/>
                <w:bottom w:val="none" w:sz="0" w:space="0" w:color="auto"/>
                <w:right w:val="none" w:sz="0" w:space="0" w:color="auto"/>
              </w:divBdr>
            </w:div>
            <w:div w:id="124855986">
              <w:marLeft w:val="0"/>
              <w:marRight w:val="0"/>
              <w:marTop w:val="0"/>
              <w:marBottom w:val="0"/>
              <w:divBdr>
                <w:top w:val="none" w:sz="0" w:space="0" w:color="auto"/>
                <w:left w:val="none" w:sz="0" w:space="0" w:color="auto"/>
                <w:bottom w:val="none" w:sz="0" w:space="0" w:color="auto"/>
                <w:right w:val="none" w:sz="0" w:space="0" w:color="auto"/>
              </w:divBdr>
            </w:div>
            <w:div w:id="143393304">
              <w:marLeft w:val="0"/>
              <w:marRight w:val="0"/>
              <w:marTop w:val="0"/>
              <w:marBottom w:val="0"/>
              <w:divBdr>
                <w:top w:val="none" w:sz="0" w:space="0" w:color="auto"/>
                <w:left w:val="none" w:sz="0" w:space="0" w:color="auto"/>
                <w:bottom w:val="none" w:sz="0" w:space="0" w:color="auto"/>
                <w:right w:val="none" w:sz="0" w:space="0" w:color="auto"/>
              </w:divBdr>
            </w:div>
            <w:div w:id="155270609">
              <w:marLeft w:val="0"/>
              <w:marRight w:val="0"/>
              <w:marTop w:val="0"/>
              <w:marBottom w:val="0"/>
              <w:divBdr>
                <w:top w:val="none" w:sz="0" w:space="0" w:color="auto"/>
                <w:left w:val="none" w:sz="0" w:space="0" w:color="auto"/>
                <w:bottom w:val="none" w:sz="0" w:space="0" w:color="auto"/>
                <w:right w:val="none" w:sz="0" w:space="0" w:color="auto"/>
              </w:divBdr>
            </w:div>
            <w:div w:id="166988919">
              <w:marLeft w:val="0"/>
              <w:marRight w:val="0"/>
              <w:marTop w:val="0"/>
              <w:marBottom w:val="0"/>
              <w:divBdr>
                <w:top w:val="none" w:sz="0" w:space="0" w:color="auto"/>
                <w:left w:val="none" w:sz="0" w:space="0" w:color="auto"/>
                <w:bottom w:val="none" w:sz="0" w:space="0" w:color="auto"/>
                <w:right w:val="none" w:sz="0" w:space="0" w:color="auto"/>
              </w:divBdr>
            </w:div>
            <w:div w:id="175965937">
              <w:marLeft w:val="0"/>
              <w:marRight w:val="0"/>
              <w:marTop w:val="0"/>
              <w:marBottom w:val="0"/>
              <w:divBdr>
                <w:top w:val="none" w:sz="0" w:space="0" w:color="auto"/>
                <w:left w:val="none" w:sz="0" w:space="0" w:color="auto"/>
                <w:bottom w:val="none" w:sz="0" w:space="0" w:color="auto"/>
                <w:right w:val="none" w:sz="0" w:space="0" w:color="auto"/>
              </w:divBdr>
            </w:div>
            <w:div w:id="217975921">
              <w:marLeft w:val="0"/>
              <w:marRight w:val="0"/>
              <w:marTop w:val="0"/>
              <w:marBottom w:val="0"/>
              <w:divBdr>
                <w:top w:val="none" w:sz="0" w:space="0" w:color="auto"/>
                <w:left w:val="none" w:sz="0" w:space="0" w:color="auto"/>
                <w:bottom w:val="none" w:sz="0" w:space="0" w:color="auto"/>
                <w:right w:val="none" w:sz="0" w:space="0" w:color="auto"/>
              </w:divBdr>
            </w:div>
            <w:div w:id="223222731">
              <w:marLeft w:val="0"/>
              <w:marRight w:val="0"/>
              <w:marTop w:val="0"/>
              <w:marBottom w:val="0"/>
              <w:divBdr>
                <w:top w:val="none" w:sz="0" w:space="0" w:color="auto"/>
                <w:left w:val="none" w:sz="0" w:space="0" w:color="auto"/>
                <w:bottom w:val="none" w:sz="0" w:space="0" w:color="auto"/>
                <w:right w:val="none" w:sz="0" w:space="0" w:color="auto"/>
              </w:divBdr>
            </w:div>
            <w:div w:id="250049407">
              <w:marLeft w:val="0"/>
              <w:marRight w:val="0"/>
              <w:marTop w:val="0"/>
              <w:marBottom w:val="0"/>
              <w:divBdr>
                <w:top w:val="none" w:sz="0" w:space="0" w:color="auto"/>
                <w:left w:val="none" w:sz="0" w:space="0" w:color="auto"/>
                <w:bottom w:val="none" w:sz="0" w:space="0" w:color="auto"/>
                <w:right w:val="none" w:sz="0" w:space="0" w:color="auto"/>
              </w:divBdr>
            </w:div>
            <w:div w:id="317540783">
              <w:marLeft w:val="0"/>
              <w:marRight w:val="0"/>
              <w:marTop w:val="0"/>
              <w:marBottom w:val="0"/>
              <w:divBdr>
                <w:top w:val="none" w:sz="0" w:space="0" w:color="auto"/>
                <w:left w:val="none" w:sz="0" w:space="0" w:color="auto"/>
                <w:bottom w:val="none" w:sz="0" w:space="0" w:color="auto"/>
                <w:right w:val="none" w:sz="0" w:space="0" w:color="auto"/>
              </w:divBdr>
            </w:div>
            <w:div w:id="326521581">
              <w:marLeft w:val="0"/>
              <w:marRight w:val="0"/>
              <w:marTop w:val="0"/>
              <w:marBottom w:val="0"/>
              <w:divBdr>
                <w:top w:val="none" w:sz="0" w:space="0" w:color="auto"/>
                <w:left w:val="none" w:sz="0" w:space="0" w:color="auto"/>
                <w:bottom w:val="none" w:sz="0" w:space="0" w:color="auto"/>
                <w:right w:val="none" w:sz="0" w:space="0" w:color="auto"/>
              </w:divBdr>
            </w:div>
            <w:div w:id="332487815">
              <w:marLeft w:val="0"/>
              <w:marRight w:val="0"/>
              <w:marTop w:val="0"/>
              <w:marBottom w:val="0"/>
              <w:divBdr>
                <w:top w:val="none" w:sz="0" w:space="0" w:color="auto"/>
                <w:left w:val="none" w:sz="0" w:space="0" w:color="auto"/>
                <w:bottom w:val="none" w:sz="0" w:space="0" w:color="auto"/>
                <w:right w:val="none" w:sz="0" w:space="0" w:color="auto"/>
              </w:divBdr>
            </w:div>
            <w:div w:id="380178070">
              <w:marLeft w:val="0"/>
              <w:marRight w:val="0"/>
              <w:marTop w:val="0"/>
              <w:marBottom w:val="0"/>
              <w:divBdr>
                <w:top w:val="none" w:sz="0" w:space="0" w:color="auto"/>
                <w:left w:val="none" w:sz="0" w:space="0" w:color="auto"/>
                <w:bottom w:val="none" w:sz="0" w:space="0" w:color="auto"/>
                <w:right w:val="none" w:sz="0" w:space="0" w:color="auto"/>
              </w:divBdr>
            </w:div>
            <w:div w:id="385641680">
              <w:marLeft w:val="0"/>
              <w:marRight w:val="0"/>
              <w:marTop w:val="0"/>
              <w:marBottom w:val="0"/>
              <w:divBdr>
                <w:top w:val="none" w:sz="0" w:space="0" w:color="auto"/>
                <w:left w:val="none" w:sz="0" w:space="0" w:color="auto"/>
                <w:bottom w:val="none" w:sz="0" w:space="0" w:color="auto"/>
                <w:right w:val="none" w:sz="0" w:space="0" w:color="auto"/>
              </w:divBdr>
            </w:div>
            <w:div w:id="403796212">
              <w:marLeft w:val="0"/>
              <w:marRight w:val="0"/>
              <w:marTop w:val="0"/>
              <w:marBottom w:val="0"/>
              <w:divBdr>
                <w:top w:val="none" w:sz="0" w:space="0" w:color="auto"/>
                <w:left w:val="none" w:sz="0" w:space="0" w:color="auto"/>
                <w:bottom w:val="none" w:sz="0" w:space="0" w:color="auto"/>
                <w:right w:val="none" w:sz="0" w:space="0" w:color="auto"/>
              </w:divBdr>
            </w:div>
            <w:div w:id="408499237">
              <w:marLeft w:val="0"/>
              <w:marRight w:val="0"/>
              <w:marTop w:val="0"/>
              <w:marBottom w:val="0"/>
              <w:divBdr>
                <w:top w:val="none" w:sz="0" w:space="0" w:color="auto"/>
                <w:left w:val="none" w:sz="0" w:space="0" w:color="auto"/>
                <w:bottom w:val="none" w:sz="0" w:space="0" w:color="auto"/>
                <w:right w:val="none" w:sz="0" w:space="0" w:color="auto"/>
              </w:divBdr>
            </w:div>
            <w:div w:id="416630443">
              <w:marLeft w:val="0"/>
              <w:marRight w:val="0"/>
              <w:marTop w:val="0"/>
              <w:marBottom w:val="0"/>
              <w:divBdr>
                <w:top w:val="none" w:sz="0" w:space="0" w:color="auto"/>
                <w:left w:val="none" w:sz="0" w:space="0" w:color="auto"/>
                <w:bottom w:val="none" w:sz="0" w:space="0" w:color="auto"/>
                <w:right w:val="none" w:sz="0" w:space="0" w:color="auto"/>
              </w:divBdr>
            </w:div>
            <w:div w:id="457921013">
              <w:marLeft w:val="0"/>
              <w:marRight w:val="0"/>
              <w:marTop w:val="0"/>
              <w:marBottom w:val="0"/>
              <w:divBdr>
                <w:top w:val="none" w:sz="0" w:space="0" w:color="auto"/>
                <w:left w:val="none" w:sz="0" w:space="0" w:color="auto"/>
                <w:bottom w:val="none" w:sz="0" w:space="0" w:color="auto"/>
                <w:right w:val="none" w:sz="0" w:space="0" w:color="auto"/>
              </w:divBdr>
            </w:div>
            <w:div w:id="458962364">
              <w:marLeft w:val="0"/>
              <w:marRight w:val="0"/>
              <w:marTop w:val="0"/>
              <w:marBottom w:val="0"/>
              <w:divBdr>
                <w:top w:val="none" w:sz="0" w:space="0" w:color="auto"/>
                <w:left w:val="none" w:sz="0" w:space="0" w:color="auto"/>
                <w:bottom w:val="none" w:sz="0" w:space="0" w:color="auto"/>
                <w:right w:val="none" w:sz="0" w:space="0" w:color="auto"/>
              </w:divBdr>
            </w:div>
            <w:div w:id="464198720">
              <w:marLeft w:val="0"/>
              <w:marRight w:val="0"/>
              <w:marTop w:val="0"/>
              <w:marBottom w:val="0"/>
              <w:divBdr>
                <w:top w:val="none" w:sz="0" w:space="0" w:color="auto"/>
                <w:left w:val="none" w:sz="0" w:space="0" w:color="auto"/>
                <w:bottom w:val="none" w:sz="0" w:space="0" w:color="auto"/>
                <w:right w:val="none" w:sz="0" w:space="0" w:color="auto"/>
              </w:divBdr>
            </w:div>
            <w:div w:id="540674511">
              <w:marLeft w:val="0"/>
              <w:marRight w:val="0"/>
              <w:marTop w:val="0"/>
              <w:marBottom w:val="0"/>
              <w:divBdr>
                <w:top w:val="none" w:sz="0" w:space="0" w:color="auto"/>
                <w:left w:val="none" w:sz="0" w:space="0" w:color="auto"/>
                <w:bottom w:val="none" w:sz="0" w:space="0" w:color="auto"/>
                <w:right w:val="none" w:sz="0" w:space="0" w:color="auto"/>
              </w:divBdr>
            </w:div>
            <w:div w:id="557858252">
              <w:marLeft w:val="0"/>
              <w:marRight w:val="0"/>
              <w:marTop w:val="0"/>
              <w:marBottom w:val="0"/>
              <w:divBdr>
                <w:top w:val="none" w:sz="0" w:space="0" w:color="auto"/>
                <w:left w:val="none" w:sz="0" w:space="0" w:color="auto"/>
                <w:bottom w:val="none" w:sz="0" w:space="0" w:color="auto"/>
                <w:right w:val="none" w:sz="0" w:space="0" w:color="auto"/>
              </w:divBdr>
            </w:div>
            <w:div w:id="565385430">
              <w:marLeft w:val="0"/>
              <w:marRight w:val="0"/>
              <w:marTop w:val="0"/>
              <w:marBottom w:val="0"/>
              <w:divBdr>
                <w:top w:val="none" w:sz="0" w:space="0" w:color="auto"/>
                <w:left w:val="none" w:sz="0" w:space="0" w:color="auto"/>
                <w:bottom w:val="none" w:sz="0" w:space="0" w:color="auto"/>
                <w:right w:val="none" w:sz="0" w:space="0" w:color="auto"/>
              </w:divBdr>
            </w:div>
            <w:div w:id="573662444">
              <w:marLeft w:val="0"/>
              <w:marRight w:val="0"/>
              <w:marTop w:val="0"/>
              <w:marBottom w:val="0"/>
              <w:divBdr>
                <w:top w:val="none" w:sz="0" w:space="0" w:color="auto"/>
                <w:left w:val="none" w:sz="0" w:space="0" w:color="auto"/>
                <w:bottom w:val="none" w:sz="0" w:space="0" w:color="auto"/>
                <w:right w:val="none" w:sz="0" w:space="0" w:color="auto"/>
              </w:divBdr>
            </w:div>
            <w:div w:id="577058038">
              <w:marLeft w:val="0"/>
              <w:marRight w:val="0"/>
              <w:marTop w:val="0"/>
              <w:marBottom w:val="0"/>
              <w:divBdr>
                <w:top w:val="none" w:sz="0" w:space="0" w:color="auto"/>
                <w:left w:val="none" w:sz="0" w:space="0" w:color="auto"/>
                <w:bottom w:val="none" w:sz="0" w:space="0" w:color="auto"/>
                <w:right w:val="none" w:sz="0" w:space="0" w:color="auto"/>
              </w:divBdr>
            </w:div>
            <w:div w:id="601425850">
              <w:marLeft w:val="0"/>
              <w:marRight w:val="0"/>
              <w:marTop w:val="0"/>
              <w:marBottom w:val="0"/>
              <w:divBdr>
                <w:top w:val="none" w:sz="0" w:space="0" w:color="auto"/>
                <w:left w:val="none" w:sz="0" w:space="0" w:color="auto"/>
                <w:bottom w:val="none" w:sz="0" w:space="0" w:color="auto"/>
                <w:right w:val="none" w:sz="0" w:space="0" w:color="auto"/>
              </w:divBdr>
            </w:div>
            <w:div w:id="609626537">
              <w:marLeft w:val="0"/>
              <w:marRight w:val="0"/>
              <w:marTop w:val="0"/>
              <w:marBottom w:val="0"/>
              <w:divBdr>
                <w:top w:val="none" w:sz="0" w:space="0" w:color="auto"/>
                <w:left w:val="none" w:sz="0" w:space="0" w:color="auto"/>
                <w:bottom w:val="none" w:sz="0" w:space="0" w:color="auto"/>
                <w:right w:val="none" w:sz="0" w:space="0" w:color="auto"/>
              </w:divBdr>
            </w:div>
            <w:div w:id="661935607">
              <w:marLeft w:val="0"/>
              <w:marRight w:val="0"/>
              <w:marTop w:val="0"/>
              <w:marBottom w:val="0"/>
              <w:divBdr>
                <w:top w:val="none" w:sz="0" w:space="0" w:color="auto"/>
                <w:left w:val="none" w:sz="0" w:space="0" w:color="auto"/>
                <w:bottom w:val="none" w:sz="0" w:space="0" w:color="auto"/>
                <w:right w:val="none" w:sz="0" w:space="0" w:color="auto"/>
              </w:divBdr>
            </w:div>
            <w:div w:id="663625942">
              <w:marLeft w:val="0"/>
              <w:marRight w:val="0"/>
              <w:marTop w:val="0"/>
              <w:marBottom w:val="0"/>
              <w:divBdr>
                <w:top w:val="none" w:sz="0" w:space="0" w:color="auto"/>
                <w:left w:val="none" w:sz="0" w:space="0" w:color="auto"/>
                <w:bottom w:val="none" w:sz="0" w:space="0" w:color="auto"/>
                <w:right w:val="none" w:sz="0" w:space="0" w:color="auto"/>
              </w:divBdr>
            </w:div>
            <w:div w:id="671690393">
              <w:marLeft w:val="0"/>
              <w:marRight w:val="0"/>
              <w:marTop w:val="0"/>
              <w:marBottom w:val="0"/>
              <w:divBdr>
                <w:top w:val="none" w:sz="0" w:space="0" w:color="auto"/>
                <w:left w:val="none" w:sz="0" w:space="0" w:color="auto"/>
                <w:bottom w:val="none" w:sz="0" w:space="0" w:color="auto"/>
                <w:right w:val="none" w:sz="0" w:space="0" w:color="auto"/>
              </w:divBdr>
            </w:div>
            <w:div w:id="680818068">
              <w:marLeft w:val="0"/>
              <w:marRight w:val="0"/>
              <w:marTop w:val="0"/>
              <w:marBottom w:val="0"/>
              <w:divBdr>
                <w:top w:val="none" w:sz="0" w:space="0" w:color="auto"/>
                <w:left w:val="none" w:sz="0" w:space="0" w:color="auto"/>
                <w:bottom w:val="none" w:sz="0" w:space="0" w:color="auto"/>
                <w:right w:val="none" w:sz="0" w:space="0" w:color="auto"/>
              </w:divBdr>
            </w:div>
            <w:div w:id="718169983">
              <w:marLeft w:val="0"/>
              <w:marRight w:val="0"/>
              <w:marTop w:val="0"/>
              <w:marBottom w:val="0"/>
              <w:divBdr>
                <w:top w:val="none" w:sz="0" w:space="0" w:color="auto"/>
                <w:left w:val="none" w:sz="0" w:space="0" w:color="auto"/>
                <w:bottom w:val="none" w:sz="0" w:space="0" w:color="auto"/>
                <w:right w:val="none" w:sz="0" w:space="0" w:color="auto"/>
              </w:divBdr>
            </w:div>
            <w:div w:id="742917939">
              <w:marLeft w:val="0"/>
              <w:marRight w:val="0"/>
              <w:marTop w:val="0"/>
              <w:marBottom w:val="0"/>
              <w:divBdr>
                <w:top w:val="none" w:sz="0" w:space="0" w:color="auto"/>
                <w:left w:val="none" w:sz="0" w:space="0" w:color="auto"/>
                <w:bottom w:val="none" w:sz="0" w:space="0" w:color="auto"/>
                <w:right w:val="none" w:sz="0" w:space="0" w:color="auto"/>
              </w:divBdr>
            </w:div>
            <w:div w:id="746221064">
              <w:marLeft w:val="0"/>
              <w:marRight w:val="0"/>
              <w:marTop w:val="0"/>
              <w:marBottom w:val="0"/>
              <w:divBdr>
                <w:top w:val="none" w:sz="0" w:space="0" w:color="auto"/>
                <w:left w:val="none" w:sz="0" w:space="0" w:color="auto"/>
                <w:bottom w:val="none" w:sz="0" w:space="0" w:color="auto"/>
                <w:right w:val="none" w:sz="0" w:space="0" w:color="auto"/>
              </w:divBdr>
            </w:div>
            <w:div w:id="867645008">
              <w:marLeft w:val="0"/>
              <w:marRight w:val="0"/>
              <w:marTop w:val="0"/>
              <w:marBottom w:val="0"/>
              <w:divBdr>
                <w:top w:val="none" w:sz="0" w:space="0" w:color="auto"/>
                <w:left w:val="none" w:sz="0" w:space="0" w:color="auto"/>
                <w:bottom w:val="none" w:sz="0" w:space="0" w:color="auto"/>
                <w:right w:val="none" w:sz="0" w:space="0" w:color="auto"/>
              </w:divBdr>
            </w:div>
            <w:div w:id="871117303">
              <w:marLeft w:val="0"/>
              <w:marRight w:val="0"/>
              <w:marTop w:val="0"/>
              <w:marBottom w:val="0"/>
              <w:divBdr>
                <w:top w:val="none" w:sz="0" w:space="0" w:color="auto"/>
                <w:left w:val="none" w:sz="0" w:space="0" w:color="auto"/>
                <w:bottom w:val="none" w:sz="0" w:space="0" w:color="auto"/>
                <w:right w:val="none" w:sz="0" w:space="0" w:color="auto"/>
              </w:divBdr>
            </w:div>
            <w:div w:id="899941601">
              <w:marLeft w:val="0"/>
              <w:marRight w:val="0"/>
              <w:marTop w:val="0"/>
              <w:marBottom w:val="0"/>
              <w:divBdr>
                <w:top w:val="none" w:sz="0" w:space="0" w:color="auto"/>
                <w:left w:val="none" w:sz="0" w:space="0" w:color="auto"/>
                <w:bottom w:val="none" w:sz="0" w:space="0" w:color="auto"/>
                <w:right w:val="none" w:sz="0" w:space="0" w:color="auto"/>
              </w:divBdr>
            </w:div>
            <w:div w:id="963583122">
              <w:marLeft w:val="0"/>
              <w:marRight w:val="0"/>
              <w:marTop w:val="0"/>
              <w:marBottom w:val="0"/>
              <w:divBdr>
                <w:top w:val="none" w:sz="0" w:space="0" w:color="auto"/>
                <w:left w:val="none" w:sz="0" w:space="0" w:color="auto"/>
                <w:bottom w:val="none" w:sz="0" w:space="0" w:color="auto"/>
                <w:right w:val="none" w:sz="0" w:space="0" w:color="auto"/>
              </w:divBdr>
            </w:div>
            <w:div w:id="984774310">
              <w:marLeft w:val="0"/>
              <w:marRight w:val="0"/>
              <w:marTop w:val="0"/>
              <w:marBottom w:val="0"/>
              <w:divBdr>
                <w:top w:val="none" w:sz="0" w:space="0" w:color="auto"/>
                <w:left w:val="none" w:sz="0" w:space="0" w:color="auto"/>
                <w:bottom w:val="none" w:sz="0" w:space="0" w:color="auto"/>
                <w:right w:val="none" w:sz="0" w:space="0" w:color="auto"/>
              </w:divBdr>
            </w:div>
            <w:div w:id="1064642884">
              <w:marLeft w:val="0"/>
              <w:marRight w:val="0"/>
              <w:marTop w:val="0"/>
              <w:marBottom w:val="0"/>
              <w:divBdr>
                <w:top w:val="none" w:sz="0" w:space="0" w:color="auto"/>
                <w:left w:val="none" w:sz="0" w:space="0" w:color="auto"/>
                <w:bottom w:val="none" w:sz="0" w:space="0" w:color="auto"/>
                <w:right w:val="none" w:sz="0" w:space="0" w:color="auto"/>
              </w:divBdr>
            </w:div>
            <w:div w:id="1066303191">
              <w:marLeft w:val="0"/>
              <w:marRight w:val="0"/>
              <w:marTop w:val="0"/>
              <w:marBottom w:val="0"/>
              <w:divBdr>
                <w:top w:val="none" w:sz="0" w:space="0" w:color="auto"/>
                <w:left w:val="none" w:sz="0" w:space="0" w:color="auto"/>
                <w:bottom w:val="none" w:sz="0" w:space="0" w:color="auto"/>
                <w:right w:val="none" w:sz="0" w:space="0" w:color="auto"/>
              </w:divBdr>
            </w:div>
            <w:div w:id="1080717572">
              <w:marLeft w:val="0"/>
              <w:marRight w:val="0"/>
              <w:marTop w:val="0"/>
              <w:marBottom w:val="0"/>
              <w:divBdr>
                <w:top w:val="none" w:sz="0" w:space="0" w:color="auto"/>
                <w:left w:val="none" w:sz="0" w:space="0" w:color="auto"/>
                <w:bottom w:val="none" w:sz="0" w:space="0" w:color="auto"/>
                <w:right w:val="none" w:sz="0" w:space="0" w:color="auto"/>
              </w:divBdr>
            </w:div>
            <w:div w:id="1092166555">
              <w:marLeft w:val="0"/>
              <w:marRight w:val="0"/>
              <w:marTop w:val="0"/>
              <w:marBottom w:val="0"/>
              <w:divBdr>
                <w:top w:val="none" w:sz="0" w:space="0" w:color="auto"/>
                <w:left w:val="none" w:sz="0" w:space="0" w:color="auto"/>
                <w:bottom w:val="none" w:sz="0" w:space="0" w:color="auto"/>
                <w:right w:val="none" w:sz="0" w:space="0" w:color="auto"/>
              </w:divBdr>
            </w:div>
            <w:div w:id="1112431922">
              <w:marLeft w:val="0"/>
              <w:marRight w:val="0"/>
              <w:marTop w:val="0"/>
              <w:marBottom w:val="0"/>
              <w:divBdr>
                <w:top w:val="none" w:sz="0" w:space="0" w:color="auto"/>
                <w:left w:val="none" w:sz="0" w:space="0" w:color="auto"/>
                <w:bottom w:val="none" w:sz="0" w:space="0" w:color="auto"/>
                <w:right w:val="none" w:sz="0" w:space="0" w:color="auto"/>
              </w:divBdr>
            </w:div>
            <w:div w:id="1114130323">
              <w:marLeft w:val="0"/>
              <w:marRight w:val="0"/>
              <w:marTop w:val="0"/>
              <w:marBottom w:val="0"/>
              <w:divBdr>
                <w:top w:val="none" w:sz="0" w:space="0" w:color="auto"/>
                <w:left w:val="none" w:sz="0" w:space="0" w:color="auto"/>
                <w:bottom w:val="none" w:sz="0" w:space="0" w:color="auto"/>
                <w:right w:val="none" w:sz="0" w:space="0" w:color="auto"/>
              </w:divBdr>
            </w:div>
            <w:div w:id="1123842097">
              <w:marLeft w:val="0"/>
              <w:marRight w:val="0"/>
              <w:marTop w:val="0"/>
              <w:marBottom w:val="0"/>
              <w:divBdr>
                <w:top w:val="none" w:sz="0" w:space="0" w:color="auto"/>
                <w:left w:val="none" w:sz="0" w:space="0" w:color="auto"/>
                <w:bottom w:val="none" w:sz="0" w:space="0" w:color="auto"/>
                <w:right w:val="none" w:sz="0" w:space="0" w:color="auto"/>
              </w:divBdr>
            </w:div>
            <w:div w:id="1147085230">
              <w:marLeft w:val="0"/>
              <w:marRight w:val="0"/>
              <w:marTop w:val="0"/>
              <w:marBottom w:val="0"/>
              <w:divBdr>
                <w:top w:val="none" w:sz="0" w:space="0" w:color="auto"/>
                <w:left w:val="none" w:sz="0" w:space="0" w:color="auto"/>
                <w:bottom w:val="none" w:sz="0" w:space="0" w:color="auto"/>
                <w:right w:val="none" w:sz="0" w:space="0" w:color="auto"/>
              </w:divBdr>
            </w:div>
            <w:div w:id="1153179253">
              <w:marLeft w:val="0"/>
              <w:marRight w:val="0"/>
              <w:marTop w:val="0"/>
              <w:marBottom w:val="0"/>
              <w:divBdr>
                <w:top w:val="none" w:sz="0" w:space="0" w:color="auto"/>
                <w:left w:val="none" w:sz="0" w:space="0" w:color="auto"/>
                <w:bottom w:val="none" w:sz="0" w:space="0" w:color="auto"/>
                <w:right w:val="none" w:sz="0" w:space="0" w:color="auto"/>
              </w:divBdr>
            </w:div>
            <w:div w:id="1158617834">
              <w:marLeft w:val="0"/>
              <w:marRight w:val="0"/>
              <w:marTop w:val="0"/>
              <w:marBottom w:val="0"/>
              <w:divBdr>
                <w:top w:val="none" w:sz="0" w:space="0" w:color="auto"/>
                <w:left w:val="none" w:sz="0" w:space="0" w:color="auto"/>
                <w:bottom w:val="none" w:sz="0" w:space="0" w:color="auto"/>
                <w:right w:val="none" w:sz="0" w:space="0" w:color="auto"/>
              </w:divBdr>
            </w:div>
            <w:div w:id="1162501414">
              <w:marLeft w:val="0"/>
              <w:marRight w:val="0"/>
              <w:marTop w:val="0"/>
              <w:marBottom w:val="0"/>
              <w:divBdr>
                <w:top w:val="none" w:sz="0" w:space="0" w:color="auto"/>
                <w:left w:val="none" w:sz="0" w:space="0" w:color="auto"/>
                <w:bottom w:val="none" w:sz="0" w:space="0" w:color="auto"/>
                <w:right w:val="none" w:sz="0" w:space="0" w:color="auto"/>
              </w:divBdr>
            </w:div>
            <w:div w:id="1253590112">
              <w:marLeft w:val="0"/>
              <w:marRight w:val="0"/>
              <w:marTop w:val="0"/>
              <w:marBottom w:val="0"/>
              <w:divBdr>
                <w:top w:val="none" w:sz="0" w:space="0" w:color="auto"/>
                <w:left w:val="none" w:sz="0" w:space="0" w:color="auto"/>
                <w:bottom w:val="none" w:sz="0" w:space="0" w:color="auto"/>
                <w:right w:val="none" w:sz="0" w:space="0" w:color="auto"/>
              </w:divBdr>
            </w:div>
            <w:div w:id="1291280691">
              <w:marLeft w:val="0"/>
              <w:marRight w:val="0"/>
              <w:marTop w:val="0"/>
              <w:marBottom w:val="0"/>
              <w:divBdr>
                <w:top w:val="none" w:sz="0" w:space="0" w:color="auto"/>
                <w:left w:val="none" w:sz="0" w:space="0" w:color="auto"/>
                <w:bottom w:val="none" w:sz="0" w:space="0" w:color="auto"/>
                <w:right w:val="none" w:sz="0" w:space="0" w:color="auto"/>
              </w:divBdr>
            </w:div>
            <w:div w:id="1312757454">
              <w:marLeft w:val="0"/>
              <w:marRight w:val="0"/>
              <w:marTop w:val="0"/>
              <w:marBottom w:val="0"/>
              <w:divBdr>
                <w:top w:val="none" w:sz="0" w:space="0" w:color="auto"/>
                <w:left w:val="none" w:sz="0" w:space="0" w:color="auto"/>
                <w:bottom w:val="none" w:sz="0" w:space="0" w:color="auto"/>
                <w:right w:val="none" w:sz="0" w:space="0" w:color="auto"/>
              </w:divBdr>
            </w:div>
            <w:div w:id="1324120310">
              <w:marLeft w:val="0"/>
              <w:marRight w:val="0"/>
              <w:marTop w:val="0"/>
              <w:marBottom w:val="0"/>
              <w:divBdr>
                <w:top w:val="none" w:sz="0" w:space="0" w:color="auto"/>
                <w:left w:val="none" w:sz="0" w:space="0" w:color="auto"/>
                <w:bottom w:val="none" w:sz="0" w:space="0" w:color="auto"/>
                <w:right w:val="none" w:sz="0" w:space="0" w:color="auto"/>
              </w:divBdr>
            </w:div>
            <w:div w:id="1416904267">
              <w:marLeft w:val="0"/>
              <w:marRight w:val="0"/>
              <w:marTop w:val="0"/>
              <w:marBottom w:val="0"/>
              <w:divBdr>
                <w:top w:val="none" w:sz="0" w:space="0" w:color="auto"/>
                <w:left w:val="none" w:sz="0" w:space="0" w:color="auto"/>
                <w:bottom w:val="none" w:sz="0" w:space="0" w:color="auto"/>
                <w:right w:val="none" w:sz="0" w:space="0" w:color="auto"/>
              </w:divBdr>
            </w:div>
            <w:div w:id="1423722118">
              <w:marLeft w:val="0"/>
              <w:marRight w:val="0"/>
              <w:marTop w:val="0"/>
              <w:marBottom w:val="0"/>
              <w:divBdr>
                <w:top w:val="none" w:sz="0" w:space="0" w:color="auto"/>
                <w:left w:val="none" w:sz="0" w:space="0" w:color="auto"/>
                <w:bottom w:val="none" w:sz="0" w:space="0" w:color="auto"/>
                <w:right w:val="none" w:sz="0" w:space="0" w:color="auto"/>
              </w:divBdr>
            </w:div>
            <w:div w:id="1459840016">
              <w:marLeft w:val="0"/>
              <w:marRight w:val="0"/>
              <w:marTop w:val="0"/>
              <w:marBottom w:val="0"/>
              <w:divBdr>
                <w:top w:val="none" w:sz="0" w:space="0" w:color="auto"/>
                <w:left w:val="none" w:sz="0" w:space="0" w:color="auto"/>
                <w:bottom w:val="none" w:sz="0" w:space="0" w:color="auto"/>
                <w:right w:val="none" w:sz="0" w:space="0" w:color="auto"/>
              </w:divBdr>
            </w:div>
            <w:div w:id="1487164069">
              <w:marLeft w:val="0"/>
              <w:marRight w:val="0"/>
              <w:marTop w:val="0"/>
              <w:marBottom w:val="0"/>
              <w:divBdr>
                <w:top w:val="none" w:sz="0" w:space="0" w:color="auto"/>
                <w:left w:val="none" w:sz="0" w:space="0" w:color="auto"/>
                <w:bottom w:val="none" w:sz="0" w:space="0" w:color="auto"/>
                <w:right w:val="none" w:sz="0" w:space="0" w:color="auto"/>
              </w:divBdr>
            </w:div>
            <w:div w:id="1492255842">
              <w:marLeft w:val="0"/>
              <w:marRight w:val="0"/>
              <w:marTop w:val="0"/>
              <w:marBottom w:val="0"/>
              <w:divBdr>
                <w:top w:val="none" w:sz="0" w:space="0" w:color="auto"/>
                <w:left w:val="none" w:sz="0" w:space="0" w:color="auto"/>
                <w:bottom w:val="none" w:sz="0" w:space="0" w:color="auto"/>
                <w:right w:val="none" w:sz="0" w:space="0" w:color="auto"/>
              </w:divBdr>
            </w:div>
            <w:div w:id="1513840724">
              <w:marLeft w:val="0"/>
              <w:marRight w:val="0"/>
              <w:marTop w:val="0"/>
              <w:marBottom w:val="0"/>
              <w:divBdr>
                <w:top w:val="none" w:sz="0" w:space="0" w:color="auto"/>
                <w:left w:val="none" w:sz="0" w:space="0" w:color="auto"/>
                <w:bottom w:val="none" w:sz="0" w:space="0" w:color="auto"/>
                <w:right w:val="none" w:sz="0" w:space="0" w:color="auto"/>
              </w:divBdr>
            </w:div>
            <w:div w:id="1519662223">
              <w:marLeft w:val="0"/>
              <w:marRight w:val="0"/>
              <w:marTop w:val="0"/>
              <w:marBottom w:val="0"/>
              <w:divBdr>
                <w:top w:val="none" w:sz="0" w:space="0" w:color="auto"/>
                <w:left w:val="none" w:sz="0" w:space="0" w:color="auto"/>
                <w:bottom w:val="none" w:sz="0" w:space="0" w:color="auto"/>
                <w:right w:val="none" w:sz="0" w:space="0" w:color="auto"/>
              </w:divBdr>
            </w:div>
            <w:div w:id="1522938750">
              <w:marLeft w:val="0"/>
              <w:marRight w:val="0"/>
              <w:marTop w:val="0"/>
              <w:marBottom w:val="0"/>
              <w:divBdr>
                <w:top w:val="none" w:sz="0" w:space="0" w:color="auto"/>
                <w:left w:val="none" w:sz="0" w:space="0" w:color="auto"/>
                <w:bottom w:val="none" w:sz="0" w:space="0" w:color="auto"/>
                <w:right w:val="none" w:sz="0" w:space="0" w:color="auto"/>
              </w:divBdr>
            </w:div>
            <w:div w:id="1593974215">
              <w:marLeft w:val="0"/>
              <w:marRight w:val="0"/>
              <w:marTop w:val="0"/>
              <w:marBottom w:val="0"/>
              <w:divBdr>
                <w:top w:val="none" w:sz="0" w:space="0" w:color="auto"/>
                <w:left w:val="none" w:sz="0" w:space="0" w:color="auto"/>
                <w:bottom w:val="none" w:sz="0" w:space="0" w:color="auto"/>
                <w:right w:val="none" w:sz="0" w:space="0" w:color="auto"/>
              </w:divBdr>
            </w:div>
            <w:div w:id="1596748238">
              <w:marLeft w:val="0"/>
              <w:marRight w:val="0"/>
              <w:marTop w:val="0"/>
              <w:marBottom w:val="0"/>
              <w:divBdr>
                <w:top w:val="none" w:sz="0" w:space="0" w:color="auto"/>
                <w:left w:val="none" w:sz="0" w:space="0" w:color="auto"/>
                <w:bottom w:val="none" w:sz="0" w:space="0" w:color="auto"/>
                <w:right w:val="none" w:sz="0" w:space="0" w:color="auto"/>
              </w:divBdr>
            </w:div>
            <w:div w:id="1606962442">
              <w:marLeft w:val="0"/>
              <w:marRight w:val="0"/>
              <w:marTop w:val="0"/>
              <w:marBottom w:val="0"/>
              <w:divBdr>
                <w:top w:val="none" w:sz="0" w:space="0" w:color="auto"/>
                <w:left w:val="none" w:sz="0" w:space="0" w:color="auto"/>
                <w:bottom w:val="none" w:sz="0" w:space="0" w:color="auto"/>
                <w:right w:val="none" w:sz="0" w:space="0" w:color="auto"/>
              </w:divBdr>
            </w:div>
            <w:div w:id="1624077686">
              <w:marLeft w:val="0"/>
              <w:marRight w:val="0"/>
              <w:marTop w:val="0"/>
              <w:marBottom w:val="0"/>
              <w:divBdr>
                <w:top w:val="none" w:sz="0" w:space="0" w:color="auto"/>
                <w:left w:val="none" w:sz="0" w:space="0" w:color="auto"/>
                <w:bottom w:val="none" w:sz="0" w:space="0" w:color="auto"/>
                <w:right w:val="none" w:sz="0" w:space="0" w:color="auto"/>
              </w:divBdr>
            </w:div>
            <w:div w:id="1642074628">
              <w:marLeft w:val="0"/>
              <w:marRight w:val="0"/>
              <w:marTop w:val="0"/>
              <w:marBottom w:val="0"/>
              <w:divBdr>
                <w:top w:val="none" w:sz="0" w:space="0" w:color="auto"/>
                <w:left w:val="none" w:sz="0" w:space="0" w:color="auto"/>
                <w:bottom w:val="none" w:sz="0" w:space="0" w:color="auto"/>
                <w:right w:val="none" w:sz="0" w:space="0" w:color="auto"/>
              </w:divBdr>
            </w:div>
            <w:div w:id="1643729152">
              <w:marLeft w:val="0"/>
              <w:marRight w:val="0"/>
              <w:marTop w:val="0"/>
              <w:marBottom w:val="0"/>
              <w:divBdr>
                <w:top w:val="none" w:sz="0" w:space="0" w:color="auto"/>
                <w:left w:val="none" w:sz="0" w:space="0" w:color="auto"/>
                <w:bottom w:val="none" w:sz="0" w:space="0" w:color="auto"/>
                <w:right w:val="none" w:sz="0" w:space="0" w:color="auto"/>
              </w:divBdr>
            </w:div>
            <w:div w:id="1672216948">
              <w:marLeft w:val="0"/>
              <w:marRight w:val="0"/>
              <w:marTop w:val="0"/>
              <w:marBottom w:val="0"/>
              <w:divBdr>
                <w:top w:val="none" w:sz="0" w:space="0" w:color="auto"/>
                <w:left w:val="none" w:sz="0" w:space="0" w:color="auto"/>
                <w:bottom w:val="none" w:sz="0" w:space="0" w:color="auto"/>
                <w:right w:val="none" w:sz="0" w:space="0" w:color="auto"/>
              </w:divBdr>
            </w:div>
            <w:div w:id="1673530093">
              <w:marLeft w:val="0"/>
              <w:marRight w:val="0"/>
              <w:marTop w:val="0"/>
              <w:marBottom w:val="0"/>
              <w:divBdr>
                <w:top w:val="none" w:sz="0" w:space="0" w:color="auto"/>
                <w:left w:val="none" w:sz="0" w:space="0" w:color="auto"/>
                <w:bottom w:val="none" w:sz="0" w:space="0" w:color="auto"/>
                <w:right w:val="none" w:sz="0" w:space="0" w:color="auto"/>
              </w:divBdr>
            </w:div>
            <w:div w:id="1673995090">
              <w:marLeft w:val="0"/>
              <w:marRight w:val="0"/>
              <w:marTop w:val="0"/>
              <w:marBottom w:val="0"/>
              <w:divBdr>
                <w:top w:val="none" w:sz="0" w:space="0" w:color="auto"/>
                <w:left w:val="none" w:sz="0" w:space="0" w:color="auto"/>
                <w:bottom w:val="none" w:sz="0" w:space="0" w:color="auto"/>
                <w:right w:val="none" w:sz="0" w:space="0" w:color="auto"/>
              </w:divBdr>
            </w:div>
            <w:div w:id="1678192399">
              <w:marLeft w:val="0"/>
              <w:marRight w:val="0"/>
              <w:marTop w:val="0"/>
              <w:marBottom w:val="0"/>
              <w:divBdr>
                <w:top w:val="none" w:sz="0" w:space="0" w:color="auto"/>
                <w:left w:val="none" w:sz="0" w:space="0" w:color="auto"/>
                <w:bottom w:val="none" w:sz="0" w:space="0" w:color="auto"/>
                <w:right w:val="none" w:sz="0" w:space="0" w:color="auto"/>
              </w:divBdr>
            </w:div>
            <w:div w:id="1684356929">
              <w:marLeft w:val="0"/>
              <w:marRight w:val="0"/>
              <w:marTop w:val="0"/>
              <w:marBottom w:val="0"/>
              <w:divBdr>
                <w:top w:val="none" w:sz="0" w:space="0" w:color="auto"/>
                <w:left w:val="none" w:sz="0" w:space="0" w:color="auto"/>
                <w:bottom w:val="none" w:sz="0" w:space="0" w:color="auto"/>
                <w:right w:val="none" w:sz="0" w:space="0" w:color="auto"/>
              </w:divBdr>
            </w:div>
            <w:div w:id="1827090595">
              <w:marLeft w:val="0"/>
              <w:marRight w:val="0"/>
              <w:marTop w:val="0"/>
              <w:marBottom w:val="0"/>
              <w:divBdr>
                <w:top w:val="none" w:sz="0" w:space="0" w:color="auto"/>
                <w:left w:val="none" w:sz="0" w:space="0" w:color="auto"/>
                <w:bottom w:val="none" w:sz="0" w:space="0" w:color="auto"/>
                <w:right w:val="none" w:sz="0" w:space="0" w:color="auto"/>
              </w:divBdr>
            </w:div>
            <w:div w:id="1851917439">
              <w:marLeft w:val="0"/>
              <w:marRight w:val="0"/>
              <w:marTop w:val="0"/>
              <w:marBottom w:val="0"/>
              <w:divBdr>
                <w:top w:val="none" w:sz="0" w:space="0" w:color="auto"/>
                <w:left w:val="none" w:sz="0" w:space="0" w:color="auto"/>
                <w:bottom w:val="none" w:sz="0" w:space="0" w:color="auto"/>
                <w:right w:val="none" w:sz="0" w:space="0" w:color="auto"/>
              </w:divBdr>
            </w:div>
            <w:div w:id="1893156193">
              <w:marLeft w:val="0"/>
              <w:marRight w:val="0"/>
              <w:marTop w:val="0"/>
              <w:marBottom w:val="0"/>
              <w:divBdr>
                <w:top w:val="none" w:sz="0" w:space="0" w:color="auto"/>
                <w:left w:val="none" w:sz="0" w:space="0" w:color="auto"/>
                <w:bottom w:val="none" w:sz="0" w:space="0" w:color="auto"/>
                <w:right w:val="none" w:sz="0" w:space="0" w:color="auto"/>
              </w:divBdr>
            </w:div>
            <w:div w:id="1897735427">
              <w:marLeft w:val="0"/>
              <w:marRight w:val="0"/>
              <w:marTop w:val="0"/>
              <w:marBottom w:val="0"/>
              <w:divBdr>
                <w:top w:val="none" w:sz="0" w:space="0" w:color="auto"/>
                <w:left w:val="none" w:sz="0" w:space="0" w:color="auto"/>
                <w:bottom w:val="none" w:sz="0" w:space="0" w:color="auto"/>
                <w:right w:val="none" w:sz="0" w:space="0" w:color="auto"/>
              </w:divBdr>
            </w:div>
            <w:div w:id="1944223428">
              <w:marLeft w:val="0"/>
              <w:marRight w:val="0"/>
              <w:marTop w:val="0"/>
              <w:marBottom w:val="0"/>
              <w:divBdr>
                <w:top w:val="none" w:sz="0" w:space="0" w:color="auto"/>
                <w:left w:val="none" w:sz="0" w:space="0" w:color="auto"/>
                <w:bottom w:val="none" w:sz="0" w:space="0" w:color="auto"/>
                <w:right w:val="none" w:sz="0" w:space="0" w:color="auto"/>
              </w:divBdr>
            </w:div>
            <w:div w:id="1947733393">
              <w:marLeft w:val="0"/>
              <w:marRight w:val="0"/>
              <w:marTop w:val="0"/>
              <w:marBottom w:val="0"/>
              <w:divBdr>
                <w:top w:val="none" w:sz="0" w:space="0" w:color="auto"/>
                <w:left w:val="none" w:sz="0" w:space="0" w:color="auto"/>
                <w:bottom w:val="none" w:sz="0" w:space="0" w:color="auto"/>
                <w:right w:val="none" w:sz="0" w:space="0" w:color="auto"/>
              </w:divBdr>
            </w:div>
            <w:div w:id="1947810659">
              <w:marLeft w:val="0"/>
              <w:marRight w:val="0"/>
              <w:marTop w:val="0"/>
              <w:marBottom w:val="0"/>
              <w:divBdr>
                <w:top w:val="none" w:sz="0" w:space="0" w:color="auto"/>
                <w:left w:val="none" w:sz="0" w:space="0" w:color="auto"/>
                <w:bottom w:val="none" w:sz="0" w:space="0" w:color="auto"/>
                <w:right w:val="none" w:sz="0" w:space="0" w:color="auto"/>
              </w:divBdr>
            </w:div>
            <w:div w:id="1998533590">
              <w:marLeft w:val="0"/>
              <w:marRight w:val="0"/>
              <w:marTop w:val="0"/>
              <w:marBottom w:val="0"/>
              <w:divBdr>
                <w:top w:val="none" w:sz="0" w:space="0" w:color="auto"/>
                <w:left w:val="none" w:sz="0" w:space="0" w:color="auto"/>
                <w:bottom w:val="none" w:sz="0" w:space="0" w:color="auto"/>
                <w:right w:val="none" w:sz="0" w:space="0" w:color="auto"/>
              </w:divBdr>
            </w:div>
            <w:div w:id="2024168489">
              <w:marLeft w:val="0"/>
              <w:marRight w:val="0"/>
              <w:marTop w:val="0"/>
              <w:marBottom w:val="0"/>
              <w:divBdr>
                <w:top w:val="none" w:sz="0" w:space="0" w:color="auto"/>
                <w:left w:val="none" w:sz="0" w:space="0" w:color="auto"/>
                <w:bottom w:val="none" w:sz="0" w:space="0" w:color="auto"/>
                <w:right w:val="none" w:sz="0" w:space="0" w:color="auto"/>
              </w:divBdr>
            </w:div>
            <w:div w:id="2029019739">
              <w:marLeft w:val="0"/>
              <w:marRight w:val="0"/>
              <w:marTop w:val="0"/>
              <w:marBottom w:val="0"/>
              <w:divBdr>
                <w:top w:val="none" w:sz="0" w:space="0" w:color="auto"/>
                <w:left w:val="none" w:sz="0" w:space="0" w:color="auto"/>
                <w:bottom w:val="none" w:sz="0" w:space="0" w:color="auto"/>
                <w:right w:val="none" w:sz="0" w:space="0" w:color="auto"/>
              </w:divBdr>
            </w:div>
            <w:div w:id="2035689992">
              <w:marLeft w:val="0"/>
              <w:marRight w:val="0"/>
              <w:marTop w:val="0"/>
              <w:marBottom w:val="0"/>
              <w:divBdr>
                <w:top w:val="none" w:sz="0" w:space="0" w:color="auto"/>
                <w:left w:val="none" w:sz="0" w:space="0" w:color="auto"/>
                <w:bottom w:val="none" w:sz="0" w:space="0" w:color="auto"/>
                <w:right w:val="none" w:sz="0" w:space="0" w:color="auto"/>
              </w:divBdr>
            </w:div>
            <w:div w:id="2092506137">
              <w:marLeft w:val="0"/>
              <w:marRight w:val="0"/>
              <w:marTop w:val="0"/>
              <w:marBottom w:val="0"/>
              <w:divBdr>
                <w:top w:val="none" w:sz="0" w:space="0" w:color="auto"/>
                <w:left w:val="none" w:sz="0" w:space="0" w:color="auto"/>
                <w:bottom w:val="none" w:sz="0" w:space="0" w:color="auto"/>
                <w:right w:val="none" w:sz="0" w:space="0" w:color="auto"/>
              </w:divBdr>
            </w:div>
            <w:div w:id="2095667089">
              <w:marLeft w:val="0"/>
              <w:marRight w:val="0"/>
              <w:marTop w:val="0"/>
              <w:marBottom w:val="0"/>
              <w:divBdr>
                <w:top w:val="none" w:sz="0" w:space="0" w:color="auto"/>
                <w:left w:val="none" w:sz="0" w:space="0" w:color="auto"/>
                <w:bottom w:val="none" w:sz="0" w:space="0" w:color="auto"/>
                <w:right w:val="none" w:sz="0" w:space="0" w:color="auto"/>
              </w:divBdr>
            </w:div>
            <w:div w:id="2119636758">
              <w:marLeft w:val="0"/>
              <w:marRight w:val="0"/>
              <w:marTop w:val="0"/>
              <w:marBottom w:val="0"/>
              <w:divBdr>
                <w:top w:val="none" w:sz="0" w:space="0" w:color="auto"/>
                <w:left w:val="none" w:sz="0" w:space="0" w:color="auto"/>
                <w:bottom w:val="none" w:sz="0" w:space="0" w:color="auto"/>
                <w:right w:val="none" w:sz="0" w:space="0" w:color="auto"/>
              </w:divBdr>
            </w:div>
          </w:divsChild>
        </w:div>
        <w:div w:id="1364094405">
          <w:marLeft w:val="0"/>
          <w:marRight w:val="0"/>
          <w:marTop w:val="0"/>
          <w:marBottom w:val="0"/>
          <w:divBdr>
            <w:top w:val="none" w:sz="0" w:space="0" w:color="auto"/>
            <w:left w:val="none" w:sz="0" w:space="0" w:color="auto"/>
            <w:bottom w:val="none" w:sz="0" w:space="0" w:color="auto"/>
            <w:right w:val="none" w:sz="0" w:space="0" w:color="auto"/>
          </w:divBdr>
          <w:divsChild>
            <w:div w:id="1521776747">
              <w:marLeft w:val="0"/>
              <w:marRight w:val="0"/>
              <w:marTop w:val="0"/>
              <w:marBottom w:val="0"/>
              <w:divBdr>
                <w:top w:val="none" w:sz="0" w:space="0" w:color="auto"/>
                <w:left w:val="none" w:sz="0" w:space="0" w:color="auto"/>
                <w:bottom w:val="none" w:sz="0" w:space="0" w:color="auto"/>
                <w:right w:val="none" w:sz="0" w:space="0" w:color="auto"/>
              </w:divBdr>
            </w:div>
          </w:divsChild>
        </w:div>
        <w:div w:id="1589580770">
          <w:marLeft w:val="0"/>
          <w:marRight w:val="0"/>
          <w:marTop w:val="0"/>
          <w:marBottom w:val="0"/>
          <w:divBdr>
            <w:top w:val="none" w:sz="0" w:space="0" w:color="auto"/>
            <w:left w:val="none" w:sz="0" w:space="0" w:color="auto"/>
            <w:bottom w:val="none" w:sz="0" w:space="0" w:color="auto"/>
            <w:right w:val="none" w:sz="0" w:space="0" w:color="auto"/>
          </w:divBdr>
          <w:divsChild>
            <w:div w:id="196310307">
              <w:marLeft w:val="0"/>
              <w:marRight w:val="0"/>
              <w:marTop w:val="0"/>
              <w:marBottom w:val="0"/>
              <w:divBdr>
                <w:top w:val="none" w:sz="0" w:space="0" w:color="auto"/>
                <w:left w:val="none" w:sz="0" w:space="0" w:color="auto"/>
                <w:bottom w:val="none" w:sz="0" w:space="0" w:color="auto"/>
                <w:right w:val="none" w:sz="0" w:space="0" w:color="auto"/>
              </w:divBdr>
            </w:div>
            <w:div w:id="1293826008">
              <w:marLeft w:val="0"/>
              <w:marRight w:val="0"/>
              <w:marTop w:val="0"/>
              <w:marBottom w:val="0"/>
              <w:divBdr>
                <w:top w:val="none" w:sz="0" w:space="0" w:color="auto"/>
                <w:left w:val="none" w:sz="0" w:space="0" w:color="auto"/>
                <w:bottom w:val="none" w:sz="0" w:space="0" w:color="auto"/>
                <w:right w:val="none" w:sz="0" w:space="0" w:color="auto"/>
              </w:divBdr>
            </w:div>
            <w:div w:id="1439527112">
              <w:marLeft w:val="0"/>
              <w:marRight w:val="0"/>
              <w:marTop w:val="0"/>
              <w:marBottom w:val="0"/>
              <w:divBdr>
                <w:top w:val="none" w:sz="0" w:space="0" w:color="auto"/>
                <w:left w:val="none" w:sz="0" w:space="0" w:color="auto"/>
                <w:bottom w:val="none" w:sz="0" w:space="0" w:color="auto"/>
                <w:right w:val="none" w:sz="0" w:space="0" w:color="auto"/>
              </w:divBdr>
            </w:div>
            <w:div w:id="1522551869">
              <w:marLeft w:val="0"/>
              <w:marRight w:val="0"/>
              <w:marTop w:val="0"/>
              <w:marBottom w:val="0"/>
              <w:divBdr>
                <w:top w:val="none" w:sz="0" w:space="0" w:color="auto"/>
                <w:left w:val="none" w:sz="0" w:space="0" w:color="auto"/>
                <w:bottom w:val="none" w:sz="0" w:space="0" w:color="auto"/>
                <w:right w:val="none" w:sz="0" w:space="0" w:color="auto"/>
              </w:divBdr>
            </w:div>
            <w:div w:id="1602684601">
              <w:marLeft w:val="0"/>
              <w:marRight w:val="0"/>
              <w:marTop w:val="0"/>
              <w:marBottom w:val="0"/>
              <w:divBdr>
                <w:top w:val="none" w:sz="0" w:space="0" w:color="auto"/>
                <w:left w:val="none" w:sz="0" w:space="0" w:color="auto"/>
                <w:bottom w:val="none" w:sz="0" w:space="0" w:color="auto"/>
                <w:right w:val="none" w:sz="0" w:space="0" w:color="auto"/>
              </w:divBdr>
            </w:div>
            <w:div w:id="1656909527">
              <w:marLeft w:val="0"/>
              <w:marRight w:val="0"/>
              <w:marTop w:val="0"/>
              <w:marBottom w:val="0"/>
              <w:divBdr>
                <w:top w:val="none" w:sz="0" w:space="0" w:color="auto"/>
                <w:left w:val="none" w:sz="0" w:space="0" w:color="auto"/>
                <w:bottom w:val="none" w:sz="0" w:space="0" w:color="auto"/>
                <w:right w:val="none" w:sz="0" w:space="0" w:color="auto"/>
              </w:divBdr>
            </w:div>
            <w:div w:id="1774014212">
              <w:marLeft w:val="0"/>
              <w:marRight w:val="0"/>
              <w:marTop w:val="0"/>
              <w:marBottom w:val="0"/>
              <w:divBdr>
                <w:top w:val="none" w:sz="0" w:space="0" w:color="auto"/>
                <w:left w:val="none" w:sz="0" w:space="0" w:color="auto"/>
                <w:bottom w:val="none" w:sz="0" w:space="0" w:color="auto"/>
                <w:right w:val="none" w:sz="0" w:space="0" w:color="auto"/>
              </w:divBdr>
            </w:div>
            <w:div w:id="1805855620">
              <w:marLeft w:val="0"/>
              <w:marRight w:val="0"/>
              <w:marTop w:val="0"/>
              <w:marBottom w:val="0"/>
              <w:divBdr>
                <w:top w:val="none" w:sz="0" w:space="0" w:color="auto"/>
                <w:left w:val="none" w:sz="0" w:space="0" w:color="auto"/>
                <w:bottom w:val="none" w:sz="0" w:space="0" w:color="auto"/>
                <w:right w:val="none" w:sz="0" w:space="0" w:color="auto"/>
              </w:divBdr>
            </w:div>
            <w:div w:id="2120638760">
              <w:marLeft w:val="0"/>
              <w:marRight w:val="0"/>
              <w:marTop w:val="0"/>
              <w:marBottom w:val="0"/>
              <w:divBdr>
                <w:top w:val="none" w:sz="0" w:space="0" w:color="auto"/>
                <w:left w:val="none" w:sz="0" w:space="0" w:color="auto"/>
                <w:bottom w:val="none" w:sz="0" w:space="0" w:color="auto"/>
                <w:right w:val="none" w:sz="0" w:space="0" w:color="auto"/>
              </w:divBdr>
            </w:div>
          </w:divsChild>
        </w:div>
        <w:div w:id="1818452476">
          <w:marLeft w:val="0"/>
          <w:marRight w:val="0"/>
          <w:marTop w:val="0"/>
          <w:marBottom w:val="0"/>
          <w:divBdr>
            <w:top w:val="none" w:sz="0" w:space="0" w:color="auto"/>
            <w:left w:val="none" w:sz="0" w:space="0" w:color="auto"/>
            <w:bottom w:val="none" w:sz="0" w:space="0" w:color="auto"/>
            <w:right w:val="none" w:sz="0" w:space="0" w:color="auto"/>
          </w:divBdr>
          <w:divsChild>
            <w:div w:id="1472676207">
              <w:marLeft w:val="0"/>
              <w:marRight w:val="0"/>
              <w:marTop w:val="0"/>
              <w:marBottom w:val="0"/>
              <w:divBdr>
                <w:top w:val="none" w:sz="0" w:space="0" w:color="auto"/>
                <w:left w:val="none" w:sz="0" w:space="0" w:color="auto"/>
                <w:bottom w:val="none" w:sz="0" w:space="0" w:color="auto"/>
                <w:right w:val="none" w:sz="0" w:space="0" w:color="auto"/>
              </w:divBdr>
            </w:div>
          </w:divsChild>
        </w:div>
        <w:div w:id="1947232360">
          <w:marLeft w:val="0"/>
          <w:marRight w:val="0"/>
          <w:marTop w:val="0"/>
          <w:marBottom w:val="0"/>
          <w:divBdr>
            <w:top w:val="none" w:sz="0" w:space="0" w:color="auto"/>
            <w:left w:val="none" w:sz="0" w:space="0" w:color="auto"/>
            <w:bottom w:val="none" w:sz="0" w:space="0" w:color="auto"/>
            <w:right w:val="none" w:sz="0" w:space="0" w:color="auto"/>
          </w:divBdr>
          <w:divsChild>
            <w:div w:id="165151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4391">
      <w:bodyDiv w:val="1"/>
      <w:marLeft w:val="0"/>
      <w:marRight w:val="0"/>
      <w:marTop w:val="0"/>
      <w:marBottom w:val="0"/>
      <w:divBdr>
        <w:top w:val="none" w:sz="0" w:space="0" w:color="auto"/>
        <w:left w:val="none" w:sz="0" w:space="0" w:color="auto"/>
        <w:bottom w:val="none" w:sz="0" w:space="0" w:color="auto"/>
        <w:right w:val="none" w:sz="0" w:space="0" w:color="auto"/>
      </w:divBdr>
      <w:divsChild>
        <w:div w:id="111176154">
          <w:marLeft w:val="0"/>
          <w:marRight w:val="0"/>
          <w:marTop w:val="0"/>
          <w:marBottom w:val="0"/>
          <w:divBdr>
            <w:top w:val="none" w:sz="0" w:space="0" w:color="auto"/>
            <w:left w:val="none" w:sz="0" w:space="0" w:color="auto"/>
            <w:bottom w:val="none" w:sz="0" w:space="0" w:color="auto"/>
            <w:right w:val="none" w:sz="0" w:space="0" w:color="auto"/>
          </w:divBdr>
        </w:div>
        <w:div w:id="306204982">
          <w:marLeft w:val="0"/>
          <w:marRight w:val="0"/>
          <w:marTop w:val="0"/>
          <w:marBottom w:val="0"/>
          <w:divBdr>
            <w:top w:val="none" w:sz="0" w:space="0" w:color="auto"/>
            <w:left w:val="none" w:sz="0" w:space="0" w:color="auto"/>
            <w:bottom w:val="none" w:sz="0" w:space="0" w:color="auto"/>
            <w:right w:val="none" w:sz="0" w:space="0" w:color="auto"/>
          </w:divBdr>
        </w:div>
        <w:div w:id="352809632">
          <w:marLeft w:val="0"/>
          <w:marRight w:val="0"/>
          <w:marTop w:val="0"/>
          <w:marBottom w:val="0"/>
          <w:divBdr>
            <w:top w:val="none" w:sz="0" w:space="0" w:color="auto"/>
            <w:left w:val="none" w:sz="0" w:space="0" w:color="auto"/>
            <w:bottom w:val="none" w:sz="0" w:space="0" w:color="auto"/>
            <w:right w:val="none" w:sz="0" w:space="0" w:color="auto"/>
          </w:divBdr>
        </w:div>
        <w:div w:id="378479751">
          <w:marLeft w:val="0"/>
          <w:marRight w:val="0"/>
          <w:marTop w:val="0"/>
          <w:marBottom w:val="0"/>
          <w:divBdr>
            <w:top w:val="none" w:sz="0" w:space="0" w:color="auto"/>
            <w:left w:val="none" w:sz="0" w:space="0" w:color="auto"/>
            <w:bottom w:val="none" w:sz="0" w:space="0" w:color="auto"/>
            <w:right w:val="none" w:sz="0" w:space="0" w:color="auto"/>
          </w:divBdr>
        </w:div>
        <w:div w:id="1216624437">
          <w:marLeft w:val="0"/>
          <w:marRight w:val="0"/>
          <w:marTop w:val="0"/>
          <w:marBottom w:val="0"/>
          <w:divBdr>
            <w:top w:val="none" w:sz="0" w:space="0" w:color="auto"/>
            <w:left w:val="none" w:sz="0" w:space="0" w:color="auto"/>
            <w:bottom w:val="none" w:sz="0" w:space="0" w:color="auto"/>
            <w:right w:val="none" w:sz="0" w:space="0" w:color="auto"/>
          </w:divBdr>
        </w:div>
        <w:div w:id="1413970022">
          <w:marLeft w:val="0"/>
          <w:marRight w:val="0"/>
          <w:marTop w:val="0"/>
          <w:marBottom w:val="0"/>
          <w:divBdr>
            <w:top w:val="none" w:sz="0" w:space="0" w:color="auto"/>
            <w:left w:val="none" w:sz="0" w:space="0" w:color="auto"/>
            <w:bottom w:val="none" w:sz="0" w:space="0" w:color="auto"/>
            <w:right w:val="none" w:sz="0" w:space="0" w:color="auto"/>
          </w:divBdr>
        </w:div>
        <w:div w:id="1735161317">
          <w:marLeft w:val="0"/>
          <w:marRight w:val="0"/>
          <w:marTop w:val="0"/>
          <w:marBottom w:val="0"/>
          <w:divBdr>
            <w:top w:val="none" w:sz="0" w:space="0" w:color="auto"/>
            <w:left w:val="none" w:sz="0" w:space="0" w:color="auto"/>
            <w:bottom w:val="none" w:sz="0" w:space="0" w:color="auto"/>
            <w:right w:val="none" w:sz="0" w:space="0" w:color="auto"/>
          </w:divBdr>
        </w:div>
        <w:div w:id="2108653305">
          <w:marLeft w:val="0"/>
          <w:marRight w:val="0"/>
          <w:marTop w:val="0"/>
          <w:marBottom w:val="0"/>
          <w:divBdr>
            <w:top w:val="none" w:sz="0" w:space="0" w:color="auto"/>
            <w:left w:val="none" w:sz="0" w:space="0" w:color="auto"/>
            <w:bottom w:val="none" w:sz="0" w:space="0" w:color="auto"/>
            <w:right w:val="none" w:sz="0" w:space="0" w:color="auto"/>
          </w:divBdr>
        </w:div>
        <w:div w:id="2116824870">
          <w:marLeft w:val="0"/>
          <w:marRight w:val="0"/>
          <w:marTop w:val="0"/>
          <w:marBottom w:val="0"/>
          <w:divBdr>
            <w:top w:val="none" w:sz="0" w:space="0" w:color="auto"/>
            <w:left w:val="none" w:sz="0" w:space="0" w:color="auto"/>
            <w:bottom w:val="none" w:sz="0" w:space="0" w:color="auto"/>
            <w:right w:val="none" w:sz="0" w:space="0" w:color="auto"/>
          </w:divBdr>
        </w:div>
      </w:divsChild>
    </w:div>
    <w:div w:id="1565220433">
      <w:bodyDiv w:val="1"/>
      <w:marLeft w:val="0"/>
      <w:marRight w:val="0"/>
      <w:marTop w:val="0"/>
      <w:marBottom w:val="0"/>
      <w:divBdr>
        <w:top w:val="none" w:sz="0" w:space="0" w:color="auto"/>
        <w:left w:val="none" w:sz="0" w:space="0" w:color="auto"/>
        <w:bottom w:val="none" w:sz="0" w:space="0" w:color="auto"/>
        <w:right w:val="none" w:sz="0" w:space="0" w:color="auto"/>
      </w:divBdr>
    </w:div>
    <w:div w:id="1573471025">
      <w:bodyDiv w:val="1"/>
      <w:marLeft w:val="0"/>
      <w:marRight w:val="0"/>
      <w:marTop w:val="0"/>
      <w:marBottom w:val="0"/>
      <w:divBdr>
        <w:top w:val="none" w:sz="0" w:space="0" w:color="auto"/>
        <w:left w:val="none" w:sz="0" w:space="0" w:color="auto"/>
        <w:bottom w:val="none" w:sz="0" w:space="0" w:color="auto"/>
        <w:right w:val="none" w:sz="0" w:space="0" w:color="auto"/>
      </w:divBdr>
    </w:div>
    <w:div w:id="1580335345">
      <w:bodyDiv w:val="1"/>
      <w:marLeft w:val="0"/>
      <w:marRight w:val="0"/>
      <w:marTop w:val="0"/>
      <w:marBottom w:val="0"/>
      <w:divBdr>
        <w:top w:val="none" w:sz="0" w:space="0" w:color="auto"/>
        <w:left w:val="none" w:sz="0" w:space="0" w:color="auto"/>
        <w:bottom w:val="none" w:sz="0" w:space="0" w:color="auto"/>
        <w:right w:val="none" w:sz="0" w:space="0" w:color="auto"/>
      </w:divBdr>
    </w:div>
    <w:div w:id="1600790682">
      <w:bodyDiv w:val="1"/>
      <w:marLeft w:val="0"/>
      <w:marRight w:val="0"/>
      <w:marTop w:val="0"/>
      <w:marBottom w:val="0"/>
      <w:divBdr>
        <w:top w:val="none" w:sz="0" w:space="0" w:color="auto"/>
        <w:left w:val="none" w:sz="0" w:space="0" w:color="auto"/>
        <w:bottom w:val="none" w:sz="0" w:space="0" w:color="auto"/>
        <w:right w:val="none" w:sz="0" w:space="0" w:color="auto"/>
      </w:divBdr>
    </w:div>
    <w:div w:id="1615016917">
      <w:bodyDiv w:val="1"/>
      <w:marLeft w:val="0"/>
      <w:marRight w:val="0"/>
      <w:marTop w:val="0"/>
      <w:marBottom w:val="0"/>
      <w:divBdr>
        <w:top w:val="none" w:sz="0" w:space="0" w:color="auto"/>
        <w:left w:val="none" w:sz="0" w:space="0" w:color="auto"/>
        <w:bottom w:val="none" w:sz="0" w:space="0" w:color="auto"/>
        <w:right w:val="none" w:sz="0" w:space="0" w:color="auto"/>
      </w:divBdr>
    </w:div>
    <w:div w:id="1619295752">
      <w:bodyDiv w:val="1"/>
      <w:marLeft w:val="0"/>
      <w:marRight w:val="0"/>
      <w:marTop w:val="0"/>
      <w:marBottom w:val="0"/>
      <w:divBdr>
        <w:top w:val="none" w:sz="0" w:space="0" w:color="auto"/>
        <w:left w:val="none" w:sz="0" w:space="0" w:color="auto"/>
        <w:bottom w:val="none" w:sz="0" w:space="0" w:color="auto"/>
        <w:right w:val="none" w:sz="0" w:space="0" w:color="auto"/>
      </w:divBdr>
    </w:div>
    <w:div w:id="1716155167">
      <w:bodyDiv w:val="1"/>
      <w:marLeft w:val="0"/>
      <w:marRight w:val="0"/>
      <w:marTop w:val="0"/>
      <w:marBottom w:val="0"/>
      <w:divBdr>
        <w:top w:val="none" w:sz="0" w:space="0" w:color="auto"/>
        <w:left w:val="none" w:sz="0" w:space="0" w:color="auto"/>
        <w:bottom w:val="none" w:sz="0" w:space="0" w:color="auto"/>
        <w:right w:val="none" w:sz="0" w:space="0" w:color="auto"/>
      </w:divBdr>
      <w:divsChild>
        <w:div w:id="897474646">
          <w:marLeft w:val="0"/>
          <w:marRight w:val="0"/>
          <w:marTop w:val="0"/>
          <w:marBottom w:val="0"/>
          <w:divBdr>
            <w:top w:val="none" w:sz="0" w:space="0" w:color="auto"/>
            <w:left w:val="none" w:sz="0" w:space="0" w:color="auto"/>
            <w:bottom w:val="none" w:sz="0" w:space="0" w:color="auto"/>
            <w:right w:val="none" w:sz="0" w:space="0" w:color="auto"/>
          </w:divBdr>
        </w:div>
        <w:div w:id="1158764608">
          <w:marLeft w:val="0"/>
          <w:marRight w:val="0"/>
          <w:marTop w:val="0"/>
          <w:marBottom w:val="0"/>
          <w:divBdr>
            <w:top w:val="none" w:sz="0" w:space="0" w:color="auto"/>
            <w:left w:val="none" w:sz="0" w:space="0" w:color="auto"/>
            <w:bottom w:val="none" w:sz="0" w:space="0" w:color="auto"/>
            <w:right w:val="none" w:sz="0" w:space="0" w:color="auto"/>
          </w:divBdr>
        </w:div>
      </w:divsChild>
    </w:div>
    <w:div w:id="1724327823">
      <w:bodyDiv w:val="1"/>
      <w:marLeft w:val="0"/>
      <w:marRight w:val="0"/>
      <w:marTop w:val="0"/>
      <w:marBottom w:val="0"/>
      <w:divBdr>
        <w:top w:val="none" w:sz="0" w:space="0" w:color="auto"/>
        <w:left w:val="none" w:sz="0" w:space="0" w:color="auto"/>
        <w:bottom w:val="none" w:sz="0" w:space="0" w:color="auto"/>
        <w:right w:val="none" w:sz="0" w:space="0" w:color="auto"/>
      </w:divBdr>
    </w:div>
    <w:div w:id="1793934190">
      <w:bodyDiv w:val="1"/>
      <w:marLeft w:val="0"/>
      <w:marRight w:val="0"/>
      <w:marTop w:val="0"/>
      <w:marBottom w:val="0"/>
      <w:divBdr>
        <w:top w:val="none" w:sz="0" w:space="0" w:color="auto"/>
        <w:left w:val="none" w:sz="0" w:space="0" w:color="auto"/>
        <w:bottom w:val="none" w:sz="0" w:space="0" w:color="auto"/>
        <w:right w:val="none" w:sz="0" w:space="0" w:color="auto"/>
      </w:divBdr>
    </w:div>
    <w:div w:id="1812284343">
      <w:bodyDiv w:val="1"/>
      <w:marLeft w:val="0"/>
      <w:marRight w:val="0"/>
      <w:marTop w:val="0"/>
      <w:marBottom w:val="0"/>
      <w:divBdr>
        <w:top w:val="none" w:sz="0" w:space="0" w:color="auto"/>
        <w:left w:val="none" w:sz="0" w:space="0" w:color="auto"/>
        <w:bottom w:val="none" w:sz="0" w:space="0" w:color="auto"/>
        <w:right w:val="none" w:sz="0" w:space="0" w:color="auto"/>
      </w:divBdr>
      <w:divsChild>
        <w:div w:id="76287366">
          <w:marLeft w:val="0"/>
          <w:marRight w:val="0"/>
          <w:marTop w:val="0"/>
          <w:marBottom w:val="0"/>
          <w:divBdr>
            <w:top w:val="none" w:sz="0" w:space="0" w:color="auto"/>
            <w:left w:val="none" w:sz="0" w:space="0" w:color="auto"/>
            <w:bottom w:val="none" w:sz="0" w:space="0" w:color="auto"/>
            <w:right w:val="none" w:sz="0" w:space="0" w:color="auto"/>
          </w:divBdr>
        </w:div>
        <w:div w:id="250160965">
          <w:marLeft w:val="0"/>
          <w:marRight w:val="0"/>
          <w:marTop w:val="0"/>
          <w:marBottom w:val="0"/>
          <w:divBdr>
            <w:top w:val="none" w:sz="0" w:space="0" w:color="auto"/>
            <w:left w:val="none" w:sz="0" w:space="0" w:color="auto"/>
            <w:bottom w:val="none" w:sz="0" w:space="0" w:color="auto"/>
            <w:right w:val="none" w:sz="0" w:space="0" w:color="auto"/>
          </w:divBdr>
        </w:div>
        <w:div w:id="932128072">
          <w:marLeft w:val="0"/>
          <w:marRight w:val="0"/>
          <w:marTop w:val="0"/>
          <w:marBottom w:val="0"/>
          <w:divBdr>
            <w:top w:val="none" w:sz="0" w:space="0" w:color="auto"/>
            <w:left w:val="none" w:sz="0" w:space="0" w:color="auto"/>
            <w:bottom w:val="none" w:sz="0" w:space="0" w:color="auto"/>
            <w:right w:val="none" w:sz="0" w:space="0" w:color="auto"/>
          </w:divBdr>
        </w:div>
        <w:div w:id="1017148480">
          <w:marLeft w:val="0"/>
          <w:marRight w:val="0"/>
          <w:marTop w:val="0"/>
          <w:marBottom w:val="0"/>
          <w:divBdr>
            <w:top w:val="none" w:sz="0" w:space="0" w:color="auto"/>
            <w:left w:val="none" w:sz="0" w:space="0" w:color="auto"/>
            <w:bottom w:val="none" w:sz="0" w:space="0" w:color="auto"/>
            <w:right w:val="none" w:sz="0" w:space="0" w:color="auto"/>
          </w:divBdr>
        </w:div>
        <w:div w:id="1068961161">
          <w:marLeft w:val="0"/>
          <w:marRight w:val="0"/>
          <w:marTop w:val="0"/>
          <w:marBottom w:val="0"/>
          <w:divBdr>
            <w:top w:val="none" w:sz="0" w:space="0" w:color="auto"/>
            <w:left w:val="none" w:sz="0" w:space="0" w:color="auto"/>
            <w:bottom w:val="none" w:sz="0" w:space="0" w:color="auto"/>
            <w:right w:val="none" w:sz="0" w:space="0" w:color="auto"/>
          </w:divBdr>
        </w:div>
        <w:div w:id="1211379303">
          <w:marLeft w:val="0"/>
          <w:marRight w:val="0"/>
          <w:marTop w:val="0"/>
          <w:marBottom w:val="0"/>
          <w:divBdr>
            <w:top w:val="none" w:sz="0" w:space="0" w:color="auto"/>
            <w:left w:val="none" w:sz="0" w:space="0" w:color="auto"/>
            <w:bottom w:val="none" w:sz="0" w:space="0" w:color="auto"/>
            <w:right w:val="none" w:sz="0" w:space="0" w:color="auto"/>
          </w:divBdr>
        </w:div>
        <w:div w:id="1517579081">
          <w:marLeft w:val="0"/>
          <w:marRight w:val="0"/>
          <w:marTop w:val="0"/>
          <w:marBottom w:val="0"/>
          <w:divBdr>
            <w:top w:val="none" w:sz="0" w:space="0" w:color="auto"/>
            <w:left w:val="none" w:sz="0" w:space="0" w:color="auto"/>
            <w:bottom w:val="none" w:sz="0" w:space="0" w:color="auto"/>
            <w:right w:val="none" w:sz="0" w:space="0" w:color="auto"/>
          </w:divBdr>
        </w:div>
        <w:div w:id="1964799778">
          <w:marLeft w:val="0"/>
          <w:marRight w:val="0"/>
          <w:marTop w:val="0"/>
          <w:marBottom w:val="0"/>
          <w:divBdr>
            <w:top w:val="none" w:sz="0" w:space="0" w:color="auto"/>
            <w:left w:val="none" w:sz="0" w:space="0" w:color="auto"/>
            <w:bottom w:val="none" w:sz="0" w:space="0" w:color="auto"/>
            <w:right w:val="none" w:sz="0" w:space="0" w:color="auto"/>
          </w:divBdr>
        </w:div>
        <w:div w:id="2111120765">
          <w:marLeft w:val="0"/>
          <w:marRight w:val="0"/>
          <w:marTop w:val="0"/>
          <w:marBottom w:val="0"/>
          <w:divBdr>
            <w:top w:val="none" w:sz="0" w:space="0" w:color="auto"/>
            <w:left w:val="none" w:sz="0" w:space="0" w:color="auto"/>
            <w:bottom w:val="none" w:sz="0" w:space="0" w:color="auto"/>
            <w:right w:val="none" w:sz="0" w:space="0" w:color="auto"/>
          </w:divBdr>
        </w:div>
      </w:divsChild>
    </w:div>
    <w:div w:id="1818646364">
      <w:bodyDiv w:val="1"/>
      <w:marLeft w:val="0"/>
      <w:marRight w:val="0"/>
      <w:marTop w:val="0"/>
      <w:marBottom w:val="0"/>
      <w:divBdr>
        <w:top w:val="none" w:sz="0" w:space="0" w:color="auto"/>
        <w:left w:val="none" w:sz="0" w:space="0" w:color="auto"/>
        <w:bottom w:val="none" w:sz="0" w:space="0" w:color="auto"/>
        <w:right w:val="none" w:sz="0" w:space="0" w:color="auto"/>
      </w:divBdr>
    </w:div>
    <w:div w:id="1820993628">
      <w:bodyDiv w:val="1"/>
      <w:marLeft w:val="0"/>
      <w:marRight w:val="0"/>
      <w:marTop w:val="0"/>
      <w:marBottom w:val="0"/>
      <w:divBdr>
        <w:top w:val="none" w:sz="0" w:space="0" w:color="auto"/>
        <w:left w:val="none" w:sz="0" w:space="0" w:color="auto"/>
        <w:bottom w:val="none" w:sz="0" w:space="0" w:color="auto"/>
        <w:right w:val="none" w:sz="0" w:space="0" w:color="auto"/>
      </w:divBdr>
      <w:divsChild>
        <w:div w:id="583032007">
          <w:marLeft w:val="0"/>
          <w:marRight w:val="0"/>
          <w:marTop w:val="0"/>
          <w:marBottom w:val="0"/>
          <w:divBdr>
            <w:top w:val="none" w:sz="0" w:space="0" w:color="auto"/>
            <w:left w:val="none" w:sz="0" w:space="0" w:color="auto"/>
            <w:bottom w:val="none" w:sz="0" w:space="0" w:color="auto"/>
            <w:right w:val="none" w:sz="0" w:space="0" w:color="auto"/>
          </w:divBdr>
        </w:div>
        <w:div w:id="1168132345">
          <w:marLeft w:val="0"/>
          <w:marRight w:val="0"/>
          <w:marTop w:val="0"/>
          <w:marBottom w:val="0"/>
          <w:divBdr>
            <w:top w:val="none" w:sz="0" w:space="0" w:color="auto"/>
            <w:left w:val="none" w:sz="0" w:space="0" w:color="auto"/>
            <w:bottom w:val="none" w:sz="0" w:space="0" w:color="auto"/>
            <w:right w:val="none" w:sz="0" w:space="0" w:color="auto"/>
          </w:divBdr>
        </w:div>
      </w:divsChild>
    </w:div>
    <w:div w:id="1825465438">
      <w:bodyDiv w:val="1"/>
      <w:marLeft w:val="0"/>
      <w:marRight w:val="0"/>
      <w:marTop w:val="0"/>
      <w:marBottom w:val="0"/>
      <w:divBdr>
        <w:top w:val="none" w:sz="0" w:space="0" w:color="auto"/>
        <w:left w:val="none" w:sz="0" w:space="0" w:color="auto"/>
        <w:bottom w:val="none" w:sz="0" w:space="0" w:color="auto"/>
        <w:right w:val="none" w:sz="0" w:space="0" w:color="auto"/>
      </w:divBdr>
      <w:divsChild>
        <w:div w:id="180244803">
          <w:marLeft w:val="0"/>
          <w:marRight w:val="0"/>
          <w:marTop w:val="0"/>
          <w:marBottom w:val="0"/>
          <w:divBdr>
            <w:top w:val="none" w:sz="0" w:space="0" w:color="auto"/>
            <w:left w:val="none" w:sz="0" w:space="0" w:color="auto"/>
            <w:bottom w:val="none" w:sz="0" w:space="0" w:color="auto"/>
            <w:right w:val="none" w:sz="0" w:space="0" w:color="auto"/>
          </w:divBdr>
        </w:div>
        <w:div w:id="500126055">
          <w:marLeft w:val="0"/>
          <w:marRight w:val="0"/>
          <w:marTop w:val="0"/>
          <w:marBottom w:val="0"/>
          <w:divBdr>
            <w:top w:val="none" w:sz="0" w:space="0" w:color="auto"/>
            <w:left w:val="none" w:sz="0" w:space="0" w:color="auto"/>
            <w:bottom w:val="none" w:sz="0" w:space="0" w:color="auto"/>
            <w:right w:val="none" w:sz="0" w:space="0" w:color="auto"/>
          </w:divBdr>
        </w:div>
      </w:divsChild>
    </w:div>
    <w:div w:id="1831673331">
      <w:bodyDiv w:val="1"/>
      <w:marLeft w:val="0"/>
      <w:marRight w:val="0"/>
      <w:marTop w:val="0"/>
      <w:marBottom w:val="0"/>
      <w:divBdr>
        <w:top w:val="none" w:sz="0" w:space="0" w:color="auto"/>
        <w:left w:val="none" w:sz="0" w:space="0" w:color="auto"/>
        <w:bottom w:val="none" w:sz="0" w:space="0" w:color="auto"/>
        <w:right w:val="none" w:sz="0" w:space="0" w:color="auto"/>
      </w:divBdr>
      <w:divsChild>
        <w:div w:id="277296785">
          <w:marLeft w:val="0"/>
          <w:marRight w:val="0"/>
          <w:marTop w:val="0"/>
          <w:marBottom w:val="0"/>
          <w:divBdr>
            <w:top w:val="none" w:sz="0" w:space="0" w:color="auto"/>
            <w:left w:val="none" w:sz="0" w:space="0" w:color="auto"/>
            <w:bottom w:val="none" w:sz="0" w:space="0" w:color="auto"/>
            <w:right w:val="none" w:sz="0" w:space="0" w:color="auto"/>
          </w:divBdr>
        </w:div>
        <w:div w:id="1559366824">
          <w:marLeft w:val="0"/>
          <w:marRight w:val="0"/>
          <w:marTop w:val="0"/>
          <w:marBottom w:val="0"/>
          <w:divBdr>
            <w:top w:val="none" w:sz="0" w:space="0" w:color="auto"/>
            <w:left w:val="none" w:sz="0" w:space="0" w:color="auto"/>
            <w:bottom w:val="none" w:sz="0" w:space="0" w:color="auto"/>
            <w:right w:val="none" w:sz="0" w:space="0" w:color="auto"/>
          </w:divBdr>
        </w:div>
      </w:divsChild>
    </w:div>
    <w:div w:id="1895847916">
      <w:bodyDiv w:val="1"/>
      <w:marLeft w:val="0"/>
      <w:marRight w:val="0"/>
      <w:marTop w:val="0"/>
      <w:marBottom w:val="0"/>
      <w:divBdr>
        <w:top w:val="none" w:sz="0" w:space="0" w:color="auto"/>
        <w:left w:val="none" w:sz="0" w:space="0" w:color="auto"/>
        <w:bottom w:val="none" w:sz="0" w:space="0" w:color="auto"/>
        <w:right w:val="none" w:sz="0" w:space="0" w:color="auto"/>
      </w:divBdr>
    </w:div>
    <w:div w:id="1953322631">
      <w:bodyDiv w:val="1"/>
      <w:marLeft w:val="0"/>
      <w:marRight w:val="0"/>
      <w:marTop w:val="0"/>
      <w:marBottom w:val="0"/>
      <w:divBdr>
        <w:top w:val="none" w:sz="0" w:space="0" w:color="auto"/>
        <w:left w:val="none" w:sz="0" w:space="0" w:color="auto"/>
        <w:bottom w:val="none" w:sz="0" w:space="0" w:color="auto"/>
        <w:right w:val="none" w:sz="0" w:space="0" w:color="auto"/>
      </w:divBdr>
      <w:divsChild>
        <w:div w:id="427775505">
          <w:marLeft w:val="0"/>
          <w:marRight w:val="0"/>
          <w:marTop w:val="0"/>
          <w:marBottom w:val="0"/>
          <w:divBdr>
            <w:top w:val="none" w:sz="0" w:space="0" w:color="auto"/>
            <w:left w:val="none" w:sz="0" w:space="0" w:color="auto"/>
            <w:bottom w:val="none" w:sz="0" w:space="0" w:color="auto"/>
            <w:right w:val="none" w:sz="0" w:space="0" w:color="auto"/>
          </w:divBdr>
        </w:div>
        <w:div w:id="1616403872">
          <w:marLeft w:val="0"/>
          <w:marRight w:val="0"/>
          <w:marTop w:val="0"/>
          <w:marBottom w:val="0"/>
          <w:divBdr>
            <w:top w:val="none" w:sz="0" w:space="0" w:color="auto"/>
            <w:left w:val="none" w:sz="0" w:space="0" w:color="auto"/>
            <w:bottom w:val="none" w:sz="0" w:space="0" w:color="auto"/>
            <w:right w:val="none" w:sz="0" w:space="0" w:color="auto"/>
          </w:divBdr>
        </w:div>
      </w:divsChild>
    </w:div>
    <w:div w:id="1973903858">
      <w:bodyDiv w:val="1"/>
      <w:marLeft w:val="0"/>
      <w:marRight w:val="0"/>
      <w:marTop w:val="0"/>
      <w:marBottom w:val="0"/>
      <w:divBdr>
        <w:top w:val="none" w:sz="0" w:space="0" w:color="auto"/>
        <w:left w:val="none" w:sz="0" w:space="0" w:color="auto"/>
        <w:bottom w:val="none" w:sz="0" w:space="0" w:color="auto"/>
        <w:right w:val="none" w:sz="0" w:space="0" w:color="auto"/>
      </w:divBdr>
    </w:div>
    <w:div w:id="2020235033">
      <w:bodyDiv w:val="1"/>
      <w:marLeft w:val="0"/>
      <w:marRight w:val="0"/>
      <w:marTop w:val="0"/>
      <w:marBottom w:val="0"/>
      <w:divBdr>
        <w:top w:val="none" w:sz="0" w:space="0" w:color="auto"/>
        <w:left w:val="none" w:sz="0" w:space="0" w:color="auto"/>
        <w:bottom w:val="none" w:sz="0" w:space="0" w:color="auto"/>
        <w:right w:val="none" w:sz="0" w:space="0" w:color="auto"/>
      </w:divBdr>
    </w:div>
    <w:div w:id="2025784456">
      <w:bodyDiv w:val="1"/>
      <w:marLeft w:val="0"/>
      <w:marRight w:val="0"/>
      <w:marTop w:val="0"/>
      <w:marBottom w:val="0"/>
      <w:divBdr>
        <w:top w:val="none" w:sz="0" w:space="0" w:color="auto"/>
        <w:left w:val="none" w:sz="0" w:space="0" w:color="auto"/>
        <w:bottom w:val="none" w:sz="0" w:space="0" w:color="auto"/>
        <w:right w:val="none" w:sz="0" w:space="0" w:color="auto"/>
      </w:divBdr>
    </w:div>
    <w:div w:id="2046516380">
      <w:bodyDiv w:val="1"/>
      <w:marLeft w:val="0"/>
      <w:marRight w:val="0"/>
      <w:marTop w:val="0"/>
      <w:marBottom w:val="0"/>
      <w:divBdr>
        <w:top w:val="none" w:sz="0" w:space="0" w:color="auto"/>
        <w:left w:val="none" w:sz="0" w:space="0" w:color="auto"/>
        <w:bottom w:val="none" w:sz="0" w:space="0" w:color="auto"/>
        <w:right w:val="none" w:sz="0" w:space="0" w:color="auto"/>
      </w:divBdr>
      <w:divsChild>
        <w:div w:id="658004207">
          <w:marLeft w:val="0"/>
          <w:marRight w:val="0"/>
          <w:marTop w:val="0"/>
          <w:marBottom w:val="0"/>
          <w:divBdr>
            <w:top w:val="none" w:sz="0" w:space="0" w:color="auto"/>
            <w:left w:val="none" w:sz="0" w:space="0" w:color="auto"/>
            <w:bottom w:val="none" w:sz="0" w:space="0" w:color="auto"/>
            <w:right w:val="none" w:sz="0" w:space="0" w:color="auto"/>
          </w:divBdr>
        </w:div>
        <w:div w:id="1004280321">
          <w:marLeft w:val="0"/>
          <w:marRight w:val="0"/>
          <w:marTop w:val="0"/>
          <w:marBottom w:val="0"/>
          <w:divBdr>
            <w:top w:val="none" w:sz="0" w:space="0" w:color="auto"/>
            <w:left w:val="none" w:sz="0" w:space="0" w:color="auto"/>
            <w:bottom w:val="none" w:sz="0" w:space="0" w:color="auto"/>
            <w:right w:val="none" w:sz="0" w:space="0" w:color="auto"/>
          </w:divBdr>
        </w:div>
      </w:divsChild>
    </w:div>
    <w:div w:id="2046716295">
      <w:bodyDiv w:val="1"/>
      <w:marLeft w:val="0"/>
      <w:marRight w:val="0"/>
      <w:marTop w:val="0"/>
      <w:marBottom w:val="0"/>
      <w:divBdr>
        <w:top w:val="none" w:sz="0" w:space="0" w:color="auto"/>
        <w:left w:val="none" w:sz="0" w:space="0" w:color="auto"/>
        <w:bottom w:val="none" w:sz="0" w:space="0" w:color="auto"/>
        <w:right w:val="none" w:sz="0" w:space="0" w:color="auto"/>
      </w:divBdr>
      <w:divsChild>
        <w:div w:id="1569462143">
          <w:marLeft w:val="0"/>
          <w:marRight w:val="0"/>
          <w:marTop w:val="0"/>
          <w:marBottom w:val="0"/>
          <w:divBdr>
            <w:top w:val="none" w:sz="0" w:space="0" w:color="auto"/>
            <w:left w:val="none" w:sz="0" w:space="0" w:color="auto"/>
            <w:bottom w:val="none" w:sz="0" w:space="0" w:color="auto"/>
            <w:right w:val="none" w:sz="0" w:space="0" w:color="auto"/>
          </w:divBdr>
        </w:div>
        <w:div w:id="2100175116">
          <w:marLeft w:val="0"/>
          <w:marRight w:val="0"/>
          <w:marTop w:val="0"/>
          <w:marBottom w:val="0"/>
          <w:divBdr>
            <w:top w:val="none" w:sz="0" w:space="0" w:color="auto"/>
            <w:left w:val="none" w:sz="0" w:space="0" w:color="auto"/>
            <w:bottom w:val="none" w:sz="0" w:space="0" w:color="auto"/>
            <w:right w:val="none" w:sz="0" w:space="0" w:color="auto"/>
          </w:divBdr>
        </w:div>
      </w:divsChild>
    </w:div>
    <w:div w:id="2062902799">
      <w:bodyDiv w:val="1"/>
      <w:marLeft w:val="0"/>
      <w:marRight w:val="0"/>
      <w:marTop w:val="0"/>
      <w:marBottom w:val="0"/>
      <w:divBdr>
        <w:top w:val="none" w:sz="0" w:space="0" w:color="auto"/>
        <w:left w:val="none" w:sz="0" w:space="0" w:color="auto"/>
        <w:bottom w:val="none" w:sz="0" w:space="0" w:color="auto"/>
        <w:right w:val="none" w:sz="0" w:space="0" w:color="auto"/>
      </w:divBdr>
      <w:divsChild>
        <w:div w:id="887569338">
          <w:marLeft w:val="0"/>
          <w:marRight w:val="0"/>
          <w:marTop w:val="0"/>
          <w:marBottom w:val="0"/>
          <w:divBdr>
            <w:top w:val="none" w:sz="0" w:space="0" w:color="auto"/>
            <w:left w:val="none" w:sz="0" w:space="0" w:color="auto"/>
            <w:bottom w:val="none" w:sz="0" w:space="0" w:color="auto"/>
            <w:right w:val="none" w:sz="0" w:space="0" w:color="auto"/>
          </w:divBdr>
        </w:div>
        <w:div w:id="2091583943">
          <w:marLeft w:val="0"/>
          <w:marRight w:val="0"/>
          <w:marTop w:val="0"/>
          <w:marBottom w:val="0"/>
          <w:divBdr>
            <w:top w:val="none" w:sz="0" w:space="0" w:color="auto"/>
            <w:left w:val="none" w:sz="0" w:space="0" w:color="auto"/>
            <w:bottom w:val="none" w:sz="0" w:space="0" w:color="auto"/>
            <w:right w:val="none" w:sz="0" w:space="0" w:color="auto"/>
          </w:divBdr>
        </w:div>
      </w:divsChild>
    </w:div>
    <w:div w:id="2079135393">
      <w:bodyDiv w:val="1"/>
      <w:marLeft w:val="0"/>
      <w:marRight w:val="0"/>
      <w:marTop w:val="0"/>
      <w:marBottom w:val="0"/>
      <w:divBdr>
        <w:top w:val="none" w:sz="0" w:space="0" w:color="auto"/>
        <w:left w:val="none" w:sz="0" w:space="0" w:color="auto"/>
        <w:bottom w:val="none" w:sz="0" w:space="0" w:color="auto"/>
        <w:right w:val="none" w:sz="0" w:space="0" w:color="auto"/>
      </w:divBdr>
      <w:divsChild>
        <w:div w:id="1137646312">
          <w:marLeft w:val="0"/>
          <w:marRight w:val="0"/>
          <w:marTop w:val="0"/>
          <w:marBottom w:val="0"/>
          <w:divBdr>
            <w:top w:val="none" w:sz="0" w:space="0" w:color="auto"/>
            <w:left w:val="none" w:sz="0" w:space="0" w:color="auto"/>
            <w:bottom w:val="none" w:sz="0" w:space="0" w:color="auto"/>
            <w:right w:val="none" w:sz="0" w:space="0" w:color="auto"/>
          </w:divBdr>
        </w:div>
        <w:div w:id="1361203158">
          <w:marLeft w:val="0"/>
          <w:marRight w:val="0"/>
          <w:marTop w:val="0"/>
          <w:marBottom w:val="0"/>
          <w:divBdr>
            <w:top w:val="none" w:sz="0" w:space="0" w:color="auto"/>
            <w:left w:val="none" w:sz="0" w:space="0" w:color="auto"/>
            <w:bottom w:val="none" w:sz="0" w:space="0" w:color="auto"/>
            <w:right w:val="none" w:sz="0" w:space="0" w:color="auto"/>
          </w:divBdr>
        </w:div>
        <w:div w:id="1368750235">
          <w:marLeft w:val="0"/>
          <w:marRight w:val="0"/>
          <w:marTop w:val="0"/>
          <w:marBottom w:val="0"/>
          <w:divBdr>
            <w:top w:val="none" w:sz="0" w:space="0" w:color="auto"/>
            <w:left w:val="none" w:sz="0" w:space="0" w:color="auto"/>
            <w:bottom w:val="none" w:sz="0" w:space="0" w:color="auto"/>
            <w:right w:val="none" w:sz="0" w:space="0" w:color="auto"/>
          </w:divBdr>
        </w:div>
      </w:divsChild>
    </w:div>
    <w:div w:id="2104299185">
      <w:bodyDiv w:val="1"/>
      <w:marLeft w:val="0"/>
      <w:marRight w:val="0"/>
      <w:marTop w:val="0"/>
      <w:marBottom w:val="0"/>
      <w:divBdr>
        <w:top w:val="none" w:sz="0" w:space="0" w:color="auto"/>
        <w:left w:val="none" w:sz="0" w:space="0" w:color="auto"/>
        <w:bottom w:val="none" w:sz="0" w:space="0" w:color="auto"/>
        <w:right w:val="none" w:sz="0" w:space="0" w:color="auto"/>
      </w:divBdr>
    </w:div>
    <w:div w:id="2120178922">
      <w:bodyDiv w:val="1"/>
      <w:marLeft w:val="0"/>
      <w:marRight w:val="0"/>
      <w:marTop w:val="0"/>
      <w:marBottom w:val="0"/>
      <w:divBdr>
        <w:top w:val="none" w:sz="0" w:space="0" w:color="auto"/>
        <w:left w:val="none" w:sz="0" w:space="0" w:color="auto"/>
        <w:bottom w:val="none" w:sz="0" w:space="0" w:color="auto"/>
        <w:right w:val="none" w:sz="0" w:space="0" w:color="auto"/>
      </w:divBdr>
    </w:div>
    <w:div w:id="2127188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1.docx"/><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F2C080FB45B74E9883083FC29ABEDE" ma:contentTypeVersion="4" ma:contentTypeDescription="Create a new document." ma:contentTypeScope="" ma:versionID="c993d81e6f8aaae439b819e770f04905">
  <xsd:schema xmlns:xsd="http://www.w3.org/2001/XMLSchema" xmlns:xs="http://www.w3.org/2001/XMLSchema" xmlns:p="http://schemas.microsoft.com/office/2006/metadata/properties" xmlns:ns2="9a2a5119-01ff-4b50-9887-5b326d837149" targetNamespace="http://schemas.microsoft.com/office/2006/metadata/properties" ma:root="true" ma:fieldsID="b3eb6f8ef49d2b5bc828743d1cabe50f" ns2:_="">
    <xsd:import namespace="9a2a5119-01ff-4b50-9887-5b326d8371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a5119-01ff-4b50-9887-5b326d8371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60680-3AF6-4CB3-B3B7-595C8F59F236}">
  <ds:schemaRefs>
    <ds:schemaRef ds:uri="http://schemas.microsoft.com/sharepoint/v3/contenttype/forms"/>
  </ds:schemaRefs>
</ds:datastoreItem>
</file>

<file path=customXml/itemProps2.xml><?xml version="1.0" encoding="utf-8"?>
<ds:datastoreItem xmlns:ds="http://schemas.openxmlformats.org/officeDocument/2006/customXml" ds:itemID="{292A958A-070D-4D5A-8093-16A26AC4F9F8}">
  <ds:schemaRefs>
    <ds:schemaRef ds:uri="http://schemas.openxmlformats.org/officeDocument/2006/bibliography"/>
  </ds:schemaRefs>
</ds:datastoreItem>
</file>

<file path=customXml/itemProps3.xml><?xml version="1.0" encoding="utf-8"?>
<ds:datastoreItem xmlns:ds="http://schemas.openxmlformats.org/officeDocument/2006/customXml" ds:itemID="{1974D8D1-82F8-406A-839E-E6949E173B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E435F7-375F-424A-985F-60539BFC3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a5119-01ff-4b50-9887-5b326d837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7095</Words>
  <Characters>39025</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Matriz de obs de consulta ext - SP-A-267-2024.docx</vt:lpstr>
    </vt:vector>
  </TitlesOfParts>
  <Company/>
  <LinksUpToDate>false</LinksUpToDate>
  <CharactersWithSpaces>46028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Matriz de obs de consulta ext - SP-A-267-2024.docx</dc:title>
  <dc:subject/>
  <dc:creator>Jaky</dc:creator>
  <cp:keywords/>
  <cp:lastModifiedBy>RODRIGUEZ BOVIERI GIANFRANCO</cp:lastModifiedBy>
  <cp:revision>3</cp:revision>
  <dcterms:created xsi:type="dcterms:W3CDTF">2024-10-22T22:17:00Z</dcterms:created>
  <dcterms:modified xsi:type="dcterms:W3CDTF">2024-10-22T22:17:00Z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4be34-365a-4a68-b9fb-75c1b6874315_Enabled">
    <vt:lpwstr>true</vt:lpwstr>
  </property>
  <property fmtid="{D5CDD505-2E9C-101B-9397-08002B2CF9AE}" pid="3" name="MSIP_Label_b8b4be34-365a-4a68-b9fb-75c1b6874315_SetDate">
    <vt:lpwstr>2023-03-10T15:20:56Z</vt:lpwstr>
  </property>
  <property fmtid="{D5CDD505-2E9C-101B-9397-08002B2CF9AE}" pid="4" name="MSIP_Label_b8b4be34-365a-4a68-b9fb-75c1b6874315_Method">
    <vt:lpwstr>Standard</vt:lpwstr>
  </property>
  <property fmtid="{D5CDD505-2E9C-101B-9397-08002B2CF9AE}" pid="5" name="MSIP_Label_b8b4be34-365a-4a68-b9fb-75c1b6874315_Name">
    <vt:lpwstr>b8b4be34-365a-4a68-b9fb-75c1b6874315</vt:lpwstr>
  </property>
  <property fmtid="{D5CDD505-2E9C-101B-9397-08002B2CF9AE}" pid="6" name="MSIP_Label_b8b4be34-365a-4a68-b9fb-75c1b6874315_SiteId">
    <vt:lpwstr>618d0a45-25a6-4618-9f80-8f70a435ee52</vt:lpwstr>
  </property>
  <property fmtid="{D5CDD505-2E9C-101B-9397-08002B2CF9AE}" pid="7" name="MSIP_Label_b8b4be34-365a-4a68-b9fb-75c1b6874315_ActionId">
    <vt:lpwstr>8d673284-55ab-4597-b161-0000892ce8aa</vt:lpwstr>
  </property>
  <property fmtid="{D5CDD505-2E9C-101B-9397-08002B2CF9AE}" pid="8" name="MSIP_Label_b8b4be34-365a-4a68-b9fb-75c1b6874315_ContentBits">
    <vt:lpwstr>2</vt:lpwstr>
  </property>
  <property fmtid="{D5CDD505-2E9C-101B-9397-08002B2CF9AE}" pid="9" name="MediaServiceImageTags">
    <vt:lpwstr/>
  </property>
  <property fmtid="{D5CDD505-2E9C-101B-9397-08002B2CF9AE}" pid="10" name="ContentTypeId">
    <vt:lpwstr>0x010100FDF2C080FB45B74E9883083FC29ABEDE</vt:lpwstr>
  </property>
</Properties>
</file>